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929A" w14:textId="77777777" w:rsidR="007924FD" w:rsidRPr="009D7197" w:rsidRDefault="00003019" w:rsidP="0076425B">
      <w:pPr>
        <w:pStyle w:val="Heading2"/>
      </w:pPr>
      <w:bookmarkStart w:id="0" w:name="_GoBack"/>
      <w:bookmarkEnd w:id="0"/>
      <w:r>
        <w:rPr>
          <w:noProof/>
        </w:rPr>
        <w:pict w14:anchorId="05AD92F6">
          <v:shapetype id="_x0000_t202" coordsize="21600,21600" o:spt="202" path="m,l,21600r21600,l21600,xe">
            <v:stroke joinstyle="miter"/>
            <v:path gradientshapeok="t" o:connecttype="rect"/>
          </v:shapetype>
          <v:shape id="Text Box 11" o:spid="_x0000_s1026" type="#_x0000_t202" style="position:absolute;margin-left:388.8pt;margin-top:105.6pt;width:172.45pt;height:124.2pt;z-index:-1;visibility:visible;mso-position-horizontal-relative:page;mso-position-vertical-relative:page;mso-width-relative:margin;mso-height-relative:margin" wrapcoords="0 0" filled="f" stroked="f">
            <v:path arrowok="t"/>
            <v:textbox style="mso-next-textbox:#Text Box 11">
              <w:txbxContent>
                <w:p w14:paraId="05AD9310" w14:textId="77777777" w:rsidR="00F707DD" w:rsidRPr="007B66B7" w:rsidRDefault="007B66B7" w:rsidP="00C507B1">
                  <w:pPr>
                    <w:jc w:val="right"/>
                    <w:rPr>
                      <w:rFonts w:ascii="Calibri Light" w:hAnsi="Calibri Light" w:cs="Arial"/>
                      <w:b/>
                    </w:rPr>
                  </w:pPr>
                  <w:r>
                    <w:rPr>
                      <w:rFonts w:ascii="Calibri Light" w:hAnsi="Calibri Light" w:cs="Arial"/>
                      <w:b/>
                      <w:sz w:val="24"/>
                    </w:rPr>
                    <w:t>SEAN-THOMAS P. THOMPSON</w:t>
                  </w:r>
                </w:p>
                <w:p w14:paraId="05AD9311" w14:textId="77777777" w:rsidR="00F707DD" w:rsidRPr="007809AE" w:rsidRDefault="007B66B7" w:rsidP="00C507B1">
                  <w:pPr>
                    <w:jc w:val="right"/>
                    <w:rPr>
                      <w:rFonts w:ascii="Calibri Light" w:hAnsi="Calibri Light" w:cs="Arial"/>
                      <w:sz w:val="18"/>
                      <w:szCs w:val="18"/>
                    </w:rPr>
                  </w:pPr>
                  <w:r>
                    <w:rPr>
                      <w:rFonts w:ascii="Calibri Light" w:hAnsi="Calibri Light" w:cs="Arial"/>
                      <w:sz w:val="18"/>
                      <w:szCs w:val="18"/>
                    </w:rPr>
                    <w:t>Attorney at Law</w:t>
                  </w:r>
                </w:p>
                <w:p w14:paraId="05AD9312" w14:textId="77777777" w:rsidR="00F707DD" w:rsidRPr="007809AE" w:rsidRDefault="00F707DD" w:rsidP="00C507B1">
                  <w:pPr>
                    <w:spacing w:line="280" w:lineRule="exact"/>
                    <w:jc w:val="right"/>
                    <w:rPr>
                      <w:rFonts w:ascii="Calibri Light" w:hAnsi="Calibri Light" w:cs="Arial"/>
                      <w:sz w:val="18"/>
                      <w:szCs w:val="18"/>
                    </w:rPr>
                  </w:pPr>
                </w:p>
                <w:p w14:paraId="05AD9313" w14:textId="77777777" w:rsidR="00F707DD" w:rsidRDefault="007B66B7" w:rsidP="00C507B1">
                  <w:pPr>
                    <w:jc w:val="right"/>
                    <w:rPr>
                      <w:rFonts w:ascii="Calibri Light" w:hAnsi="Calibri Light" w:cs="Arial"/>
                      <w:sz w:val="18"/>
                      <w:szCs w:val="18"/>
                    </w:rPr>
                  </w:pPr>
                  <w:r>
                    <w:rPr>
                      <w:rFonts w:ascii="Calibri Light" w:hAnsi="Calibri Light" w:cs="Arial"/>
                      <w:sz w:val="18"/>
                      <w:szCs w:val="18"/>
                    </w:rPr>
                    <w:t>2500 Venture Oaks Way, Suite 150</w:t>
                  </w:r>
                </w:p>
                <w:p w14:paraId="05AD9314" w14:textId="77777777" w:rsidR="007B66B7" w:rsidRPr="007809AE" w:rsidRDefault="007B66B7" w:rsidP="00C507B1">
                  <w:pPr>
                    <w:jc w:val="right"/>
                    <w:rPr>
                      <w:rFonts w:ascii="Calibri Light" w:hAnsi="Calibri Light" w:cs="Arial"/>
                      <w:sz w:val="18"/>
                      <w:szCs w:val="18"/>
                    </w:rPr>
                  </w:pPr>
                  <w:r>
                    <w:rPr>
                      <w:rFonts w:ascii="Calibri Light" w:hAnsi="Calibri Light" w:cs="Arial"/>
                      <w:sz w:val="18"/>
                      <w:szCs w:val="18"/>
                    </w:rPr>
                    <w:t>Sacramento, CA 95833</w:t>
                  </w:r>
                </w:p>
                <w:p w14:paraId="05AD9315" w14:textId="77777777" w:rsidR="00F707DD" w:rsidRPr="007809AE" w:rsidRDefault="00F707DD" w:rsidP="00C507B1">
                  <w:pPr>
                    <w:jc w:val="right"/>
                    <w:rPr>
                      <w:rFonts w:ascii="Calibri Light" w:hAnsi="Calibri Light" w:cs="Arial"/>
                      <w:sz w:val="18"/>
                      <w:szCs w:val="18"/>
                    </w:rPr>
                  </w:pPr>
                </w:p>
                <w:p w14:paraId="05AD9316" w14:textId="77777777" w:rsidR="00F707DD" w:rsidRPr="007809AE" w:rsidRDefault="00F707DD" w:rsidP="00C507B1">
                  <w:pPr>
                    <w:jc w:val="right"/>
                    <w:rPr>
                      <w:rFonts w:ascii="Calibri Light" w:hAnsi="Calibri Light" w:cs="Arial"/>
                      <w:sz w:val="18"/>
                      <w:szCs w:val="18"/>
                    </w:rPr>
                  </w:pPr>
                  <w:r w:rsidRPr="007809AE">
                    <w:rPr>
                      <w:rFonts w:ascii="Calibri Light" w:hAnsi="Calibri Light" w:cs="Arial"/>
                      <w:sz w:val="18"/>
                      <w:szCs w:val="18"/>
                    </w:rPr>
                    <w:t xml:space="preserve">(o) </w:t>
                  </w:r>
                  <w:bookmarkStart w:id="1" w:name="bmkOfficePhoneLH"/>
                  <w:bookmarkEnd w:id="1"/>
                  <w:r w:rsidR="007B66B7">
                    <w:rPr>
                      <w:rFonts w:ascii="Calibri Light" w:hAnsi="Calibri Light" w:cs="Arial"/>
                      <w:sz w:val="18"/>
                      <w:szCs w:val="18"/>
                    </w:rPr>
                    <w:t>916-993-4540</w:t>
                  </w:r>
                </w:p>
                <w:p w14:paraId="05AD9317" w14:textId="77777777" w:rsidR="00F707DD" w:rsidRPr="007809AE" w:rsidRDefault="00F707DD" w:rsidP="00C507B1">
                  <w:pPr>
                    <w:jc w:val="right"/>
                    <w:rPr>
                      <w:rFonts w:ascii="Calibri Light" w:hAnsi="Calibri Light" w:cs="Arial"/>
                      <w:sz w:val="18"/>
                      <w:szCs w:val="18"/>
                    </w:rPr>
                  </w:pPr>
                </w:p>
                <w:p w14:paraId="05AD9318" w14:textId="77777777" w:rsidR="00F707DD" w:rsidRPr="007809AE" w:rsidRDefault="007B66B7" w:rsidP="00C507B1">
                  <w:pPr>
                    <w:jc w:val="right"/>
                    <w:rPr>
                      <w:rFonts w:ascii="Calibri Light" w:hAnsi="Calibri Light" w:cs="Arial"/>
                      <w:sz w:val="18"/>
                      <w:szCs w:val="18"/>
                    </w:rPr>
                  </w:pPr>
                  <w:r>
                    <w:rPr>
                      <w:rFonts w:ascii="Calibri Light" w:hAnsi="Calibri Light" w:cs="Arial"/>
                      <w:sz w:val="18"/>
                      <w:szCs w:val="18"/>
                    </w:rPr>
                    <w:t>sean@otmklaw.com</w:t>
                  </w:r>
                </w:p>
                <w:p w14:paraId="05AD9319" w14:textId="77777777" w:rsidR="00F707DD" w:rsidRPr="009F4EDE" w:rsidRDefault="00F707DD" w:rsidP="00C507B1">
                  <w:pPr>
                    <w:ind w:right="-180"/>
                    <w:jc w:val="right"/>
                    <w:rPr>
                      <w:rFonts w:cs="Arial"/>
                      <w:sz w:val="18"/>
                      <w:szCs w:val="18"/>
                    </w:rPr>
                  </w:pPr>
                </w:p>
                <w:p w14:paraId="05AD931A" w14:textId="77777777" w:rsidR="00F707DD" w:rsidRPr="009F4EDE" w:rsidRDefault="00F707DD" w:rsidP="00C507B1">
                  <w:pPr>
                    <w:ind w:right="-180"/>
                    <w:jc w:val="right"/>
                    <w:rPr>
                      <w:rFonts w:cs="Arial"/>
                      <w:sz w:val="18"/>
                      <w:szCs w:val="18"/>
                    </w:rPr>
                  </w:pPr>
                </w:p>
                <w:p w14:paraId="05AD931B" w14:textId="77777777" w:rsidR="00F707DD" w:rsidRPr="009F4EDE" w:rsidRDefault="00F707DD" w:rsidP="00C507B1">
                  <w:pPr>
                    <w:ind w:right="-180"/>
                    <w:jc w:val="right"/>
                    <w:rPr>
                      <w:rFonts w:cs="Arial"/>
                      <w:sz w:val="18"/>
                      <w:szCs w:val="18"/>
                    </w:rPr>
                  </w:pPr>
                </w:p>
              </w:txbxContent>
            </v:textbox>
            <w10:wrap type="tight" anchorx="page" anchory="page"/>
          </v:shape>
        </w:pict>
      </w:r>
    </w:p>
    <w:p w14:paraId="05AD929B" w14:textId="77777777" w:rsidR="007924FD" w:rsidRDefault="007924FD">
      <w:pPr>
        <w:tabs>
          <w:tab w:val="left" w:pos="5143"/>
        </w:tabs>
      </w:pPr>
    </w:p>
    <w:p w14:paraId="05AD929C" w14:textId="77777777" w:rsidR="007924FD" w:rsidRDefault="007924FD"/>
    <w:p w14:paraId="05AD929D" w14:textId="77777777" w:rsidR="007B66B7" w:rsidRDefault="007B66B7" w:rsidP="007B66B7">
      <w:pPr>
        <w:pStyle w:val="BodyText"/>
        <w:rPr>
          <w:b/>
          <w:sz w:val="32"/>
          <w:u w:val="single"/>
        </w:rPr>
      </w:pPr>
    </w:p>
    <w:p w14:paraId="05AD929E" w14:textId="77777777" w:rsidR="003F7ED9" w:rsidRPr="001864E1" w:rsidRDefault="003F7ED9" w:rsidP="001864E1">
      <w:pPr>
        <w:spacing w:after="160" w:line="259" w:lineRule="auto"/>
        <w:jc w:val="center"/>
        <w:rPr>
          <w:rFonts w:eastAsia="Calibri"/>
          <w:b/>
          <w:sz w:val="24"/>
          <w:szCs w:val="24"/>
          <w:u w:val="single"/>
        </w:rPr>
      </w:pPr>
      <w:r>
        <w:rPr>
          <w:rFonts w:eastAsia="Calibri"/>
          <w:b/>
          <w:sz w:val="24"/>
          <w:szCs w:val="24"/>
          <w:u w:val="single"/>
        </w:rPr>
        <w:t>2017 Legal Year in Review</w:t>
      </w:r>
    </w:p>
    <w:p w14:paraId="05AD929F" w14:textId="77777777" w:rsidR="006814E2" w:rsidRPr="006814E2" w:rsidRDefault="003F7ED9" w:rsidP="006814E2">
      <w:pPr>
        <w:pStyle w:val="BodyText"/>
        <w:rPr>
          <w:b/>
          <w:szCs w:val="22"/>
          <w:u w:val="single"/>
        </w:rPr>
      </w:pPr>
      <w:r>
        <w:rPr>
          <w:b/>
          <w:szCs w:val="22"/>
          <w:u w:val="single"/>
        </w:rPr>
        <w:t>Infrastructure Funding</w:t>
      </w:r>
    </w:p>
    <w:p w14:paraId="05AD92A0" w14:textId="77777777" w:rsidR="006814E2" w:rsidRPr="00BA0717" w:rsidRDefault="006814E2" w:rsidP="006814E2">
      <w:pPr>
        <w:numPr>
          <w:ilvl w:val="0"/>
          <w:numId w:val="2"/>
        </w:numPr>
        <w:rPr>
          <w:sz w:val="24"/>
          <w:szCs w:val="24"/>
          <w:u w:val="single"/>
        </w:rPr>
      </w:pPr>
      <w:r>
        <w:rPr>
          <w:rFonts w:eastAsia="Calibri"/>
          <w:sz w:val="24"/>
          <w:szCs w:val="24"/>
          <w:u w:val="single"/>
        </w:rPr>
        <w:t>SB 1 – Infrastructure Funding Plan</w:t>
      </w:r>
      <w:r w:rsidRPr="009F742D">
        <w:rPr>
          <w:rFonts w:eastAsia="Calibri"/>
          <w:sz w:val="24"/>
          <w:szCs w:val="24"/>
        </w:rPr>
        <w:t xml:space="preserve">: </w:t>
      </w:r>
      <w:r>
        <w:rPr>
          <w:rFonts w:eastAsia="Calibri"/>
          <w:sz w:val="24"/>
          <w:szCs w:val="24"/>
        </w:rPr>
        <w:t>This bill</w:t>
      </w:r>
      <w:r w:rsidR="00C515DB">
        <w:rPr>
          <w:rFonts w:eastAsia="Calibri"/>
          <w:sz w:val="24"/>
          <w:szCs w:val="24"/>
        </w:rPr>
        <w:t>, signed into law in 2017,</w:t>
      </w:r>
      <w:r>
        <w:rPr>
          <w:rFonts w:eastAsia="Calibri"/>
          <w:sz w:val="24"/>
          <w:szCs w:val="24"/>
        </w:rPr>
        <w:t xml:space="preserve"> is designed to generate over $5 billion per year for 10 years for California transportation projects.  Highlights of the bill:</w:t>
      </w:r>
    </w:p>
    <w:p w14:paraId="05AD92A1" w14:textId="77777777" w:rsidR="006814E2" w:rsidRPr="00BA0717" w:rsidRDefault="00E82B72" w:rsidP="006814E2">
      <w:pPr>
        <w:numPr>
          <w:ilvl w:val="1"/>
          <w:numId w:val="2"/>
        </w:numPr>
        <w:rPr>
          <w:rFonts w:eastAsia="Calibri"/>
          <w:sz w:val="24"/>
          <w:szCs w:val="24"/>
        </w:rPr>
      </w:pPr>
      <w:r>
        <w:rPr>
          <w:rFonts w:eastAsia="Calibri"/>
          <w:sz w:val="24"/>
          <w:szCs w:val="24"/>
        </w:rPr>
        <w:t>Revenues are earmarked</w:t>
      </w:r>
      <w:r w:rsidR="006814E2" w:rsidRPr="00BA0717">
        <w:rPr>
          <w:rFonts w:eastAsia="Calibri"/>
          <w:sz w:val="24"/>
          <w:szCs w:val="24"/>
        </w:rPr>
        <w:t xml:space="preserve"> </w:t>
      </w:r>
      <w:r w:rsidR="006814E2">
        <w:rPr>
          <w:rFonts w:eastAsia="Calibri"/>
          <w:sz w:val="24"/>
          <w:szCs w:val="24"/>
        </w:rPr>
        <w:t>for</w:t>
      </w:r>
      <w:r>
        <w:rPr>
          <w:rFonts w:eastAsia="Calibri"/>
          <w:sz w:val="24"/>
          <w:szCs w:val="24"/>
        </w:rPr>
        <w:t xml:space="preserve"> specific types of state and local projects (such as road maintenance, transit operations, </w:t>
      </w:r>
      <w:r w:rsidR="00C515DB">
        <w:rPr>
          <w:rFonts w:eastAsia="Calibri"/>
          <w:sz w:val="24"/>
          <w:szCs w:val="24"/>
        </w:rPr>
        <w:t xml:space="preserve">and </w:t>
      </w:r>
      <w:r>
        <w:rPr>
          <w:rFonts w:eastAsia="Calibri"/>
          <w:sz w:val="24"/>
          <w:szCs w:val="24"/>
        </w:rPr>
        <w:t xml:space="preserve">bridge rehabilitation).  </w:t>
      </w:r>
    </w:p>
    <w:p w14:paraId="05AD92A2" w14:textId="77777777" w:rsidR="006814E2" w:rsidRPr="00E82B72" w:rsidRDefault="00E82B72" w:rsidP="006814E2">
      <w:pPr>
        <w:numPr>
          <w:ilvl w:val="1"/>
          <w:numId w:val="2"/>
        </w:numPr>
        <w:rPr>
          <w:sz w:val="24"/>
          <w:szCs w:val="24"/>
        </w:rPr>
      </w:pPr>
      <w:r>
        <w:rPr>
          <w:rFonts w:eastAsia="Calibri"/>
          <w:sz w:val="24"/>
          <w:szCs w:val="24"/>
        </w:rPr>
        <w:t>Calls</w:t>
      </w:r>
      <w:r w:rsidRPr="00E82B72">
        <w:rPr>
          <w:rFonts w:eastAsia="Calibri"/>
          <w:sz w:val="24"/>
          <w:szCs w:val="24"/>
        </w:rPr>
        <w:t xml:space="preserve"> for p</w:t>
      </w:r>
      <w:r w:rsidR="006814E2" w:rsidRPr="00E82B72">
        <w:rPr>
          <w:sz w:val="24"/>
          <w:szCs w:val="24"/>
        </w:rPr>
        <w:t xml:space="preserve">erformance Goals </w:t>
      </w:r>
      <w:r w:rsidRPr="00E82B72">
        <w:rPr>
          <w:sz w:val="24"/>
          <w:szCs w:val="24"/>
        </w:rPr>
        <w:t>for the increased funding</w:t>
      </w:r>
      <w:r w:rsidR="00C515DB">
        <w:rPr>
          <w:sz w:val="24"/>
          <w:szCs w:val="24"/>
        </w:rPr>
        <w:t>.</w:t>
      </w:r>
      <w:r w:rsidRPr="00E82B72">
        <w:rPr>
          <w:sz w:val="24"/>
          <w:szCs w:val="24"/>
        </w:rPr>
        <w:t xml:space="preserve"> </w:t>
      </w:r>
    </w:p>
    <w:p w14:paraId="05AD92A3" w14:textId="77777777" w:rsidR="006814E2" w:rsidRDefault="006814E2" w:rsidP="00E82B72">
      <w:pPr>
        <w:numPr>
          <w:ilvl w:val="1"/>
          <w:numId w:val="2"/>
        </w:numPr>
        <w:rPr>
          <w:sz w:val="24"/>
          <w:szCs w:val="24"/>
        </w:rPr>
      </w:pPr>
      <w:r>
        <w:rPr>
          <w:sz w:val="24"/>
          <w:szCs w:val="24"/>
        </w:rPr>
        <w:t>Funding is to be constitutionally protected f</w:t>
      </w:r>
      <w:r w:rsidR="001864E1">
        <w:rPr>
          <w:sz w:val="24"/>
          <w:szCs w:val="24"/>
        </w:rPr>
        <w:t xml:space="preserve">rom “raiding” by other agencies.  </w:t>
      </w:r>
    </w:p>
    <w:p w14:paraId="05AD92A4" w14:textId="77777777" w:rsidR="003F7ED9" w:rsidRPr="00E82B72" w:rsidRDefault="00E82B72" w:rsidP="00E82B72">
      <w:pPr>
        <w:numPr>
          <w:ilvl w:val="1"/>
          <w:numId w:val="2"/>
        </w:numPr>
        <w:rPr>
          <w:sz w:val="24"/>
          <w:szCs w:val="24"/>
        </w:rPr>
      </w:pPr>
      <w:r>
        <w:rPr>
          <w:sz w:val="24"/>
          <w:szCs w:val="24"/>
        </w:rPr>
        <w:t xml:space="preserve">Currently under potential threat from referendum effort.  Prospects of successful </w:t>
      </w:r>
      <w:r w:rsidR="001864E1">
        <w:rPr>
          <w:sz w:val="24"/>
          <w:szCs w:val="24"/>
        </w:rPr>
        <w:t xml:space="preserve">ballot measure to unwind SB1 are uncertain.  </w:t>
      </w:r>
      <w:r>
        <w:rPr>
          <w:sz w:val="24"/>
          <w:szCs w:val="24"/>
        </w:rPr>
        <w:t xml:space="preserve">  </w:t>
      </w:r>
    </w:p>
    <w:p w14:paraId="05AD92A5" w14:textId="77777777" w:rsidR="003F7ED9" w:rsidRPr="006814E2" w:rsidRDefault="003F7ED9" w:rsidP="003F7ED9">
      <w:pPr>
        <w:ind w:left="720"/>
        <w:rPr>
          <w:sz w:val="24"/>
          <w:szCs w:val="24"/>
        </w:rPr>
      </w:pPr>
    </w:p>
    <w:p w14:paraId="05AD92A6" w14:textId="77777777" w:rsidR="003F7ED9" w:rsidRPr="006814E2" w:rsidRDefault="003F7ED9" w:rsidP="00E82B72">
      <w:pPr>
        <w:numPr>
          <w:ilvl w:val="0"/>
          <w:numId w:val="2"/>
        </w:numPr>
        <w:rPr>
          <w:sz w:val="24"/>
          <w:szCs w:val="24"/>
        </w:rPr>
      </w:pPr>
      <w:r>
        <w:rPr>
          <w:sz w:val="24"/>
          <w:szCs w:val="24"/>
          <w:u w:val="single"/>
        </w:rPr>
        <w:t>SB 30 – Border Wall</w:t>
      </w:r>
      <w:r w:rsidRPr="009F742D">
        <w:rPr>
          <w:sz w:val="24"/>
          <w:szCs w:val="24"/>
        </w:rPr>
        <w:t xml:space="preserve">: </w:t>
      </w:r>
      <w:r w:rsidR="000D65DA">
        <w:rPr>
          <w:sz w:val="24"/>
          <w:szCs w:val="24"/>
        </w:rPr>
        <w:t xml:space="preserve">Aimed at barring the State from doing business with companies that participate in the construction of a border wall for the federal government.  As currently amended, applies only to prime contractors with the federal government for </w:t>
      </w:r>
      <w:r w:rsidR="001864E1">
        <w:rPr>
          <w:sz w:val="24"/>
          <w:szCs w:val="24"/>
        </w:rPr>
        <w:t xml:space="preserve">a </w:t>
      </w:r>
      <w:r w:rsidR="000D65DA">
        <w:rPr>
          <w:sz w:val="24"/>
          <w:szCs w:val="24"/>
        </w:rPr>
        <w:t xml:space="preserve">“wall, fence, or other barrier along California’s southern border.”  </w:t>
      </w:r>
    </w:p>
    <w:p w14:paraId="05AD92A7" w14:textId="77777777" w:rsidR="003F7ED9" w:rsidRPr="006814E2" w:rsidRDefault="000D65DA" w:rsidP="003F7ED9">
      <w:pPr>
        <w:numPr>
          <w:ilvl w:val="1"/>
          <w:numId w:val="8"/>
        </w:numPr>
        <w:rPr>
          <w:sz w:val="24"/>
          <w:szCs w:val="24"/>
          <w:u w:val="single"/>
        </w:rPr>
      </w:pPr>
      <w:r>
        <w:rPr>
          <w:sz w:val="24"/>
          <w:szCs w:val="24"/>
        </w:rPr>
        <w:t>C</w:t>
      </w:r>
      <w:r w:rsidR="003F7ED9">
        <w:rPr>
          <w:sz w:val="24"/>
          <w:szCs w:val="24"/>
        </w:rPr>
        <w:t>urrently in Assembly Committee on Accountability and Administrative Review</w:t>
      </w:r>
      <w:r w:rsidR="00726917">
        <w:rPr>
          <w:sz w:val="24"/>
          <w:szCs w:val="24"/>
        </w:rPr>
        <w:t xml:space="preserve">.  Future of the bill is uncertain.  </w:t>
      </w:r>
      <w:r>
        <w:rPr>
          <w:sz w:val="24"/>
          <w:szCs w:val="24"/>
        </w:rPr>
        <w:t xml:space="preserve"> </w:t>
      </w:r>
    </w:p>
    <w:p w14:paraId="05AD92A8" w14:textId="77777777" w:rsidR="003F7ED9" w:rsidRPr="009F742D" w:rsidRDefault="003F7ED9" w:rsidP="003F7ED9">
      <w:pPr>
        <w:numPr>
          <w:ilvl w:val="1"/>
          <w:numId w:val="8"/>
        </w:numPr>
        <w:rPr>
          <w:sz w:val="24"/>
          <w:szCs w:val="24"/>
          <w:u w:val="single"/>
        </w:rPr>
      </w:pPr>
      <w:r>
        <w:rPr>
          <w:sz w:val="24"/>
          <w:szCs w:val="24"/>
        </w:rPr>
        <w:t>There are several local ordinances seeking to accomplish the same objectives on a local level (Oakland, Berkeley, San Francisco</w:t>
      </w:r>
      <w:r w:rsidR="000D65DA">
        <w:rPr>
          <w:sz w:val="24"/>
          <w:szCs w:val="24"/>
        </w:rPr>
        <w:t>, Santa Cruz</w:t>
      </w:r>
      <w:r>
        <w:rPr>
          <w:sz w:val="24"/>
          <w:szCs w:val="24"/>
        </w:rPr>
        <w:t xml:space="preserve">).  </w:t>
      </w:r>
    </w:p>
    <w:p w14:paraId="05AD92A9" w14:textId="77777777" w:rsidR="003F7ED9" w:rsidRDefault="003F7ED9" w:rsidP="006814E2">
      <w:pPr>
        <w:rPr>
          <w:sz w:val="24"/>
          <w:szCs w:val="24"/>
          <w:u w:val="single"/>
        </w:rPr>
      </w:pPr>
    </w:p>
    <w:p w14:paraId="05AD92AA" w14:textId="77777777" w:rsidR="003F7ED9" w:rsidRPr="003F7ED9" w:rsidRDefault="001864E1" w:rsidP="006814E2">
      <w:pPr>
        <w:rPr>
          <w:b/>
          <w:sz w:val="24"/>
          <w:szCs w:val="24"/>
          <w:u w:val="single"/>
        </w:rPr>
      </w:pPr>
      <w:r>
        <w:rPr>
          <w:b/>
          <w:sz w:val="24"/>
          <w:szCs w:val="24"/>
          <w:u w:val="single"/>
        </w:rPr>
        <w:t>Indemnity</w:t>
      </w:r>
      <w:r w:rsidR="003F7ED9" w:rsidRPr="003F7ED9">
        <w:rPr>
          <w:b/>
          <w:sz w:val="24"/>
          <w:szCs w:val="24"/>
          <w:u w:val="single"/>
        </w:rPr>
        <w:t xml:space="preserve"> </w:t>
      </w:r>
    </w:p>
    <w:p w14:paraId="05AD92AB" w14:textId="77777777" w:rsidR="003F7ED9" w:rsidRPr="009F742D" w:rsidRDefault="003F7ED9" w:rsidP="006814E2">
      <w:pPr>
        <w:rPr>
          <w:sz w:val="24"/>
          <w:szCs w:val="24"/>
          <w:u w:val="single"/>
        </w:rPr>
      </w:pPr>
    </w:p>
    <w:p w14:paraId="05AD92AC" w14:textId="77777777" w:rsidR="006814E2" w:rsidRPr="00F50E7F" w:rsidRDefault="006814E2" w:rsidP="001864E1">
      <w:pPr>
        <w:numPr>
          <w:ilvl w:val="0"/>
          <w:numId w:val="11"/>
        </w:numPr>
        <w:spacing w:line="259" w:lineRule="auto"/>
        <w:rPr>
          <w:rFonts w:eastAsia="Calibri"/>
          <w:sz w:val="24"/>
          <w:szCs w:val="24"/>
          <w:u w:val="single"/>
        </w:rPr>
      </w:pPr>
      <w:r>
        <w:rPr>
          <w:rFonts w:eastAsia="Calibri"/>
          <w:sz w:val="24"/>
          <w:szCs w:val="24"/>
          <w:u w:val="single"/>
        </w:rPr>
        <w:t>SB 496 - Designer Indemnification:</w:t>
      </w:r>
    </w:p>
    <w:p w14:paraId="05AD92AD" w14:textId="77777777" w:rsidR="006814E2" w:rsidRDefault="006814E2" w:rsidP="001864E1">
      <w:pPr>
        <w:numPr>
          <w:ilvl w:val="1"/>
          <w:numId w:val="11"/>
        </w:numPr>
        <w:rPr>
          <w:rFonts w:eastAsia="Calibri"/>
          <w:sz w:val="24"/>
          <w:szCs w:val="24"/>
        </w:rPr>
      </w:pPr>
      <w:r>
        <w:rPr>
          <w:rFonts w:eastAsia="Calibri"/>
          <w:sz w:val="24"/>
          <w:szCs w:val="24"/>
        </w:rPr>
        <w:t xml:space="preserve">Design professionals’ duty to indemnify is limited to the extent of the designers’ fault in </w:t>
      </w:r>
      <w:r w:rsidRPr="00F50E7F">
        <w:rPr>
          <w:rFonts w:eastAsia="Calibri"/>
          <w:sz w:val="24"/>
          <w:szCs w:val="24"/>
          <w:u w:val="single"/>
        </w:rPr>
        <w:t>all</w:t>
      </w:r>
      <w:r>
        <w:rPr>
          <w:rFonts w:eastAsia="Calibri"/>
          <w:sz w:val="24"/>
          <w:szCs w:val="24"/>
        </w:rPr>
        <w:t xml:space="preserve"> contracts (not just contracts with public owners).  </w:t>
      </w:r>
    </w:p>
    <w:p w14:paraId="05AD92AE" w14:textId="77777777" w:rsidR="006814E2" w:rsidRDefault="006814E2" w:rsidP="001864E1">
      <w:pPr>
        <w:numPr>
          <w:ilvl w:val="1"/>
          <w:numId w:val="11"/>
        </w:numPr>
        <w:rPr>
          <w:rFonts w:eastAsia="Calibri"/>
          <w:sz w:val="24"/>
          <w:szCs w:val="24"/>
        </w:rPr>
      </w:pPr>
      <w:r>
        <w:rPr>
          <w:rFonts w:eastAsia="Calibri"/>
          <w:sz w:val="24"/>
          <w:szCs w:val="24"/>
        </w:rPr>
        <w:t xml:space="preserve">Designers’ </w:t>
      </w:r>
      <w:r w:rsidRPr="00F50E7F">
        <w:rPr>
          <w:rFonts w:eastAsia="Calibri"/>
          <w:sz w:val="24"/>
          <w:szCs w:val="24"/>
          <w:u w:val="single"/>
        </w:rPr>
        <w:t>cost to defend</w:t>
      </w:r>
      <w:r>
        <w:rPr>
          <w:rFonts w:eastAsia="Calibri"/>
          <w:sz w:val="24"/>
          <w:szCs w:val="24"/>
        </w:rPr>
        <w:t xml:space="preserve"> cannot exceed their proportion of fault, except if other responsible parties cannot pay.  </w:t>
      </w:r>
    </w:p>
    <w:p w14:paraId="05AD92AF" w14:textId="77777777" w:rsidR="006814E2" w:rsidRDefault="006814E2" w:rsidP="001864E1">
      <w:pPr>
        <w:numPr>
          <w:ilvl w:val="1"/>
          <w:numId w:val="11"/>
        </w:numPr>
        <w:spacing w:line="259" w:lineRule="auto"/>
        <w:rPr>
          <w:rFonts w:eastAsia="Calibri"/>
          <w:sz w:val="24"/>
          <w:szCs w:val="24"/>
        </w:rPr>
      </w:pPr>
      <w:r>
        <w:rPr>
          <w:rFonts w:eastAsia="Calibri"/>
          <w:sz w:val="24"/>
          <w:szCs w:val="24"/>
        </w:rPr>
        <w:t>Exceptions:</w:t>
      </w:r>
    </w:p>
    <w:p w14:paraId="05AD92B0" w14:textId="77777777" w:rsidR="006814E2" w:rsidRDefault="006814E2" w:rsidP="001864E1">
      <w:pPr>
        <w:numPr>
          <w:ilvl w:val="2"/>
          <w:numId w:val="11"/>
        </w:numPr>
        <w:ind w:left="2174" w:hanging="187"/>
        <w:rPr>
          <w:rFonts w:eastAsia="Calibri"/>
          <w:sz w:val="24"/>
          <w:szCs w:val="24"/>
        </w:rPr>
      </w:pPr>
      <w:r>
        <w:rPr>
          <w:rFonts w:eastAsia="Calibri"/>
          <w:sz w:val="24"/>
          <w:szCs w:val="24"/>
        </w:rPr>
        <w:t>Project-specific liability policies covering all project participants</w:t>
      </w:r>
    </w:p>
    <w:p w14:paraId="05AD92B1" w14:textId="77777777" w:rsidR="006814E2" w:rsidRDefault="006814E2" w:rsidP="001864E1">
      <w:pPr>
        <w:numPr>
          <w:ilvl w:val="2"/>
          <w:numId w:val="11"/>
        </w:numPr>
        <w:ind w:left="2174" w:hanging="187"/>
        <w:rPr>
          <w:rFonts w:eastAsia="Calibri"/>
          <w:sz w:val="24"/>
          <w:szCs w:val="24"/>
        </w:rPr>
      </w:pPr>
      <w:r>
        <w:rPr>
          <w:rFonts w:eastAsia="Calibri"/>
          <w:sz w:val="24"/>
          <w:szCs w:val="24"/>
        </w:rPr>
        <w:t>Written design-build “joint venture” agreements</w:t>
      </w:r>
    </w:p>
    <w:p w14:paraId="05AD92B2" w14:textId="77777777" w:rsidR="006814E2" w:rsidRDefault="006814E2" w:rsidP="001864E1">
      <w:pPr>
        <w:numPr>
          <w:ilvl w:val="2"/>
          <w:numId w:val="11"/>
        </w:numPr>
        <w:ind w:left="2174" w:hanging="187"/>
        <w:rPr>
          <w:rFonts w:eastAsia="Calibri"/>
          <w:sz w:val="24"/>
          <w:szCs w:val="24"/>
        </w:rPr>
      </w:pPr>
      <w:r>
        <w:rPr>
          <w:rFonts w:eastAsia="Calibri"/>
          <w:sz w:val="24"/>
          <w:szCs w:val="24"/>
        </w:rPr>
        <w:t>Contracts with state agencies</w:t>
      </w:r>
    </w:p>
    <w:p w14:paraId="05AD92B3" w14:textId="77777777" w:rsidR="003F7ED9" w:rsidRPr="0030422F" w:rsidRDefault="003F7ED9" w:rsidP="003F7ED9">
      <w:pPr>
        <w:rPr>
          <w:sz w:val="24"/>
          <w:szCs w:val="24"/>
        </w:rPr>
      </w:pPr>
    </w:p>
    <w:p w14:paraId="05AD92B4" w14:textId="77777777" w:rsidR="007F28F7" w:rsidRDefault="00E644C4" w:rsidP="001864E1">
      <w:pPr>
        <w:pStyle w:val="BodyText"/>
        <w:numPr>
          <w:ilvl w:val="0"/>
          <w:numId w:val="11"/>
        </w:numPr>
        <w:spacing w:after="0"/>
        <w:rPr>
          <w:sz w:val="24"/>
          <w:szCs w:val="24"/>
        </w:rPr>
      </w:pPr>
      <w:r w:rsidRPr="00726917">
        <w:rPr>
          <w:i/>
          <w:sz w:val="24"/>
          <w:szCs w:val="24"/>
          <w:u w:val="single"/>
        </w:rPr>
        <w:lastRenderedPageBreak/>
        <w:t>City of Los Angeles v. AECOM, Tutor Perini Corp</w:t>
      </w:r>
      <w:r w:rsidR="00726917">
        <w:rPr>
          <w:i/>
          <w:sz w:val="24"/>
          <w:szCs w:val="24"/>
          <w:u w:val="single"/>
        </w:rPr>
        <w:t>.</w:t>
      </w:r>
      <w:r w:rsidRPr="00E644C4">
        <w:rPr>
          <w:sz w:val="24"/>
          <w:szCs w:val="24"/>
          <w:u w:val="single"/>
        </w:rPr>
        <w:t xml:space="preserve"> – ADA </w:t>
      </w:r>
      <w:r>
        <w:rPr>
          <w:sz w:val="24"/>
          <w:szCs w:val="24"/>
          <w:u w:val="single"/>
        </w:rPr>
        <w:t>Liability</w:t>
      </w:r>
      <w:r>
        <w:rPr>
          <w:sz w:val="24"/>
          <w:szCs w:val="24"/>
        </w:rPr>
        <w:t>:</w:t>
      </w:r>
    </w:p>
    <w:p w14:paraId="05AD92B5" w14:textId="77777777" w:rsidR="00E644C4" w:rsidRDefault="00E644C4" w:rsidP="001864E1">
      <w:pPr>
        <w:pStyle w:val="BodyText"/>
        <w:numPr>
          <w:ilvl w:val="1"/>
          <w:numId w:val="11"/>
        </w:numPr>
        <w:spacing w:after="0"/>
        <w:rPr>
          <w:sz w:val="24"/>
          <w:szCs w:val="24"/>
        </w:rPr>
      </w:pPr>
      <w:r>
        <w:rPr>
          <w:sz w:val="24"/>
          <w:szCs w:val="24"/>
        </w:rPr>
        <w:t xml:space="preserve">City sought indemnity from designer and builder of public transportation facility for liability the City faced for Americans with Disabilities Act (“ADA”) accessibility violations.  The designer and builder argued that they could not be sued under state law since federal law controlled regarding ADA-connected liability.  </w:t>
      </w:r>
    </w:p>
    <w:p w14:paraId="05AD92B6" w14:textId="77777777" w:rsidR="00E644C4" w:rsidRDefault="00E644C4" w:rsidP="001864E1">
      <w:pPr>
        <w:pStyle w:val="BodyText"/>
        <w:numPr>
          <w:ilvl w:val="1"/>
          <w:numId w:val="11"/>
        </w:numPr>
        <w:spacing w:after="0"/>
        <w:rPr>
          <w:sz w:val="24"/>
          <w:szCs w:val="24"/>
        </w:rPr>
      </w:pPr>
      <w:r>
        <w:rPr>
          <w:sz w:val="24"/>
          <w:szCs w:val="24"/>
        </w:rPr>
        <w:t xml:space="preserve">The court held that federal law did not preempt state law and that the City could sue the designer and builder under state law indemnity and breach of contract theories.  </w:t>
      </w:r>
    </w:p>
    <w:p w14:paraId="05AD92B7" w14:textId="77777777" w:rsidR="00E644C4" w:rsidRPr="007F28F7" w:rsidRDefault="00E644C4" w:rsidP="00E644C4">
      <w:pPr>
        <w:pStyle w:val="BodyText"/>
        <w:spacing w:after="0"/>
        <w:ind w:left="1440"/>
        <w:rPr>
          <w:sz w:val="24"/>
          <w:szCs w:val="24"/>
        </w:rPr>
      </w:pPr>
    </w:p>
    <w:p w14:paraId="05AD92B8" w14:textId="77777777" w:rsidR="003F7ED9" w:rsidRPr="0030422F" w:rsidRDefault="003F7ED9" w:rsidP="001864E1">
      <w:pPr>
        <w:pStyle w:val="BodyText"/>
        <w:numPr>
          <w:ilvl w:val="0"/>
          <w:numId w:val="11"/>
        </w:numPr>
        <w:spacing w:after="0"/>
        <w:rPr>
          <w:sz w:val="24"/>
          <w:szCs w:val="24"/>
        </w:rPr>
      </w:pPr>
      <w:r w:rsidRPr="00726917">
        <w:rPr>
          <w:i/>
          <w:sz w:val="24"/>
          <w:szCs w:val="24"/>
          <w:u w:val="single"/>
        </w:rPr>
        <w:t>Oltmans Construction Co. v. Bayside Interiors, Inc.</w:t>
      </w:r>
      <w:r w:rsidRPr="0030422F">
        <w:rPr>
          <w:sz w:val="24"/>
          <w:szCs w:val="24"/>
          <w:u w:val="single"/>
        </w:rPr>
        <w:t xml:space="preserve"> – Contractual Indemnity Obligations</w:t>
      </w:r>
      <w:r w:rsidRPr="0030422F">
        <w:rPr>
          <w:sz w:val="24"/>
          <w:szCs w:val="24"/>
        </w:rPr>
        <w:t>:</w:t>
      </w:r>
    </w:p>
    <w:p w14:paraId="05AD92B9" w14:textId="77777777" w:rsidR="003F7ED9" w:rsidRPr="0030422F" w:rsidRDefault="001864E1" w:rsidP="001864E1">
      <w:pPr>
        <w:pStyle w:val="BodyText"/>
        <w:numPr>
          <w:ilvl w:val="1"/>
          <w:numId w:val="7"/>
        </w:numPr>
        <w:spacing w:after="0"/>
        <w:rPr>
          <w:sz w:val="24"/>
          <w:szCs w:val="24"/>
        </w:rPr>
      </w:pPr>
      <w:r>
        <w:rPr>
          <w:sz w:val="24"/>
          <w:szCs w:val="24"/>
        </w:rPr>
        <w:t>Case involved a d</w:t>
      </w:r>
      <w:r w:rsidR="003F7ED9" w:rsidRPr="0030422F">
        <w:rPr>
          <w:sz w:val="24"/>
          <w:szCs w:val="24"/>
        </w:rPr>
        <w:t xml:space="preserve">ispute over the scope of a subcontractor’s duty to indemnify a general contractor when the general contractor is partially negligent.  </w:t>
      </w:r>
    </w:p>
    <w:p w14:paraId="05AD92BA" w14:textId="77777777" w:rsidR="003F7ED9" w:rsidRDefault="003F7ED9" w:rsidP="001864E1">
      <w:pPr>
        <w:pStyle w:val="BodyText"/>
        <w:numPr>
          <w:ilvl w:val="1"/>
          <w:numId w:val="7"/>
        </w:numPr>
        <w:spacing w:after="0"/>
        <w:rPr>
          <w:sz w:val="24"/>
          <w:szCs w:val="24"/>
        </w:rPr>
      </w:pPr>
      <w:r w:rsidRPr="0030422F">
        <w:rPr>
          <w:sz w:val="24"/>
          <w:szCs w:val="24"/>
        </w:rPr>
        <w:t>Court ruled that when</w:t>
      </w:r>
      <w:r w:rsidR="001864E1">
        <w:rPr>
          <w:sz w:val="24"/>
          <w:szCs w:val="24"/>
        </w:rPr>
        <w:t xml:space="preserve"> an</w:t>
      </w:r>
      <w:r w:rsidRPr="0030422F">
        <w:rPr>
          <w:sz w:val="24"/>
          <w:szCs w:val="24"/>
        </w:rPr>
        <w:t xml:space="preserve"> indemnity provision states that the sub will indemnify the general contractor except to the extent of the general contractor’s active negligence, and the general contractor is actively negligent, the sub</w:t>
      </w:r>
      <w:r>
        <w:rPr>
          <w:sz w:val="24"/>
          <w:szCs w:val="24"/>
        </w:rPr>
        <w:t>contractor</w:t>
      </w:r>
      <w:r w:rsidRPr="0030422F">
        <w:rPr>
          <w:sz w:val="24"/>
          <w:szCs w:val="24"/>
        </w:rPr>
        <w:t xml:space="preserve">’s indemnity obligation is not extinguished outright, but </w:t>
      </w:r>
      <w:r w:rsidRPr="001864E1">
        <w:rPr>
          <w:sz w:val="24"/>
          <w:szCs w:val="24"/>
          <w:u w:val="single"/>
        </w:rPr>
        <w:t>limited or reduced</w:t>
      </w:r>
      <w:r w:rsidRPr="0030422F">
        <w:rPr>
          <w:sz w:val="24"/>
          <w:szCs w:val="24"/>
        </w:rPr>
        <w:t xml:space="preserve"> by the general contractor’s active negligence.  </w:t>
      </w:r>
    </w:p>
    <w:p w14:paraId="05AD92BB" w14:textId="77777777" w:rsidR="003F7ED9" w:rsidRPr="007B0797" w:rsidRDefault="003F7ED9" w:rsidP="001864E1">
      <w:pPr>
        <w:pStyle w:val="BodyText"/>
        <w:numPr>
          <w:ilvl w:val="1"/>
          <w:numId w:val="7"/>
        </w:numPr>
        <w:spacing w:after="0"/>
        <w:rPr>
          <w:sz w:val="24"/>
          <w:szCs w:val="24"/>
        </w:rPr>
      </w:pPr>
      <w:r>
        <w:rPr>
          <w:sz w:val="24"/>
          <w:szCs w:val="24"/>
        </w:rPr>
        <w:t>This ruling extends to the interpretation of other indemnity agreements</w:t>
      </w:r>
      <w:r w:rsidR="001864E1">
        <w:rPr>
          <w:sz w:val="24"/>
          <w:szCs w:val="24"/>
        </w:rPr>
        <w:t xml:space="preserve"> outside the general contractor v. </w:t>
      </w:r>
      <w:r>
        <w:rPr>
          <w:sz w:val="24"/>
          <w:szCs w:val="24"/>
        </w:rPr>
        <w:t xml:space="preserve">subcontractor context.  </w:t>
      </w:r>
    </w:p>
    <w:p w14:paraId="05AD92BC" w14:textId="77777777" w:rsidR="003F7ED9" w:rsidRDefault="003F7ED9" w:rsidP="003F7ED9">
      <w:pPr>
        <w:spacing w:after="160" w:line="259" w:lineRule="auto"/>
        <w:rPr>
          <w:rFonts w:eastAsia="Calibri"/>
          <w:sz w:val="24"/>
          <w:szCs w:val="24"/>
        </w:rPr>
      </w:pPr>
    </w:p>
    <w:p w14:paraId="05AD92BD" w14:textId="77777777" w:rsidR="003F7ED9" w:rsidRPr="003F7ED9" w:rsidRDefault="003F7ED9" w:rsidP="003F7ED9">
      <w:pPr>
        <w:spacing w:after="160" w:line="259" w:lineRule="auto"/>
        <w:rPr>
          <w:rFonts w:eastAsia="Calibri"/>
          <w:b/>
          <w:sz w:val="24"/>
          <w:szCs w:val="24"/>
          <w:u w:val="single"/>
        </w:rPr>
      </w:pPr>
      <w:r w:rsidRPr="003F7ED9">
        <w:rPr>
          <w:rFonts w:eastAsia="Calibri"/>
          <w:b/>
          <w:sz w:val="24"/>
          <w:szCs w:val="24"/>
          <w:u w:val="single"/>
        </w:rPr>
        <w:t>Labor/Prevailing Wage</w:t>
      </w:r>
    </w:p>
    <w:p w14:paraId="05AD92BE" w14:textId="77777777" w:rsidR="00E644C4" w:rsidRPr="00E644C4" w:rsidRDefault="0030422F" w:rsidP="001864E1">
      <w:pPr>
        <w:pStyle w:val="BodyText"/>
        <w:numPr>
          <w:ilvl w:val="0"/>
          <w:numId w:val="14"/>
        </w:numPr>
        <w:spacing w:after="0"/>
        <w:rPr>
          <w:sz w:val="24"/>
          <w:szCs w:val="24"/>
          <w:u w:val="single"/>
        </w:rPr>
      </w:pPr>
      <w:r w:rsidRPr="0030422F">
        <w:rPr>
          <w:sz w:val="24"/>
          <w:szCs w:val="24"/>
          <w:u w:val="single"/>
        </w:rPr>
        <w:t xml:space="preserve">AB 1701 </w:t>
      </w:r>
      <w:r w:rsidR="001864E1">
        <w:rPr>
          <w:sz w:val="24"/>
          <w:szCs w:val="24"/>
          <w:u w:val="single"/>
        </w:rPr>
        <w:t>–</w:t>
      </w:r>
      <w:r w:rsidRPr="0030422F">
        <w:rPr>
          <w:sz w:val="24"/>
          <w:szCs w:val="24"/>
          <w:u w:val="single"/>
        </w:rPr>
        <w:t xml:space="preserve"> </w:t>
      </w:r>
      <w:r w:rsidR="001864E1">
        <w:rPr>
          <w:sz w:val="24"/>
          <w:szCs w:val="24"/>
          <w:u w:val="single"/>
        </w:rPr>
        <w:t xml:space="preserve">Liability for Subcontractors’ </w:t>
      </w:r>
      <w:r w:rsidR="006814E2" w:rsidRPr="0030422F">
        <w:rPr>
          <w:sz w:val="24"/>
          <w:szCs w:val="24"/>
          <w:u w:val="single"/>
        </w:rPr>
        <w:t>Payment of Wages and Benefits</w:t>
      </w:r>
      <w:r w:rsidRPr="0030422F">
        <w:rPr>
          <w:sz w:val="24"/>
          <w:szCs w:val="24"/>
          <w:u w:val="single"/>
        </w:rPr>
        <w:t>:</w:t>
      </w:r>
      <w:r w:rsidRPr="0030422F">
        <w:rPr>
          <w:sz w:val="24"/>
          <w:szCs w:val="24"/>
        </w:rPr>
        <w:t xml:space="preserve">  </w:t>
      </w:r>
    </w:p>
    <w:p w14:paraId="05AD92BF" w14:textId="77777777" w:rsidR="00E644C4" w:rsidRPr="00E644C4" w:rsidRDefault="00E644C4" w:rsidP="001864E1">
      <w:pPr>
        <w:pStyle w:val="BodyText"/>
        <w:numPr>
          <w:ilvl w:val="1"/>
          <w:numId w:val="14"/>
        </w:numPr>
        <w:spacing w:after="0"/>
        <w:rPr>
          <w:sz w:val="24"/>
          <w:szCs w:val="24"/>
        </w:rPr>
      </w:pPr>
      <w:r w:rsidRPr="00E644C4">
        <w:rPr>
          <w:sz w:val="24"/>
          <w:szCs w:val="24"/>
        </w:rPr>
        <w:t xml:space="preserve">Makes prime contractors liable for any amounts owed by a subcontractor of any tier to its employees, or </w:t>
      </w:r>
      <w:r w:rsidR="001864E1">
        <w:rPr>
          <w:sz w:val="24"/>
          <w:szCs w:val="24"/>
        </w:rPr>
        <w:t xml:space="preserve">to </w:t>
      </w:r>
      <w:r w:rsidRPr="00E644C4">
        <w:rPr>
          <w:sz w:val="24"/>
          <w:szCs w:val="24"/>
        </w:rPr>
        <w:t xml:space="preserve">a third party on the employees’ behalf (such as a union trust fund). </w:t>
      </w:r>
    </w:p>
    <w:p w14:paraId="05AD92C0" w14:textId="77777777" w:rsidR="00E644C4" w:rsidRPr="00E644C4" w:rsidRDefault="00E644C4" w:rsidP="001864E1">
      <w:pPr>
        <w:pStyle w:val="BodyText"/>
        <w:numPr>
          <w:ilvl w:val="1"/>
          <w:numId w:val="14"/>
        </w:numPr>
        <w:spacing w:after="0"/>
        <w:rPr>
          <w:sz w:val="24"/>
          <w:szCs w:val="24"/>
        </w:rPr>
      </w:pPr>
      <w:r w:rsidRPr="00E644C4">
        <w:rPr>
          <w:sz w:val="24"/>
          <w:szCs w:val="24"/>
        </w:rPr>
        <w:t>Applies to prime and subcontracts entered into on or after 1/1/18.</w:t>
      </w:r>
    </w:p>
    <w:p w14:paraId="05AD92C1" w14:textId="77777777" w:rsidR="00E644C4" w:rsidRPr="00E644C4" w:rsidRDefault="00E644C4" w:rsidP="001864E1">
      <w:pPr>
        <w:pStyle w:val="BodyText"/>
        <w:numPr>
          <w:ilvl w:val="1"/>
          <w:numId w:val="14"/>
        </w:numPr>
        <w:spacing w:after="0"/>
        <w:rPr>
          <w:sz w:val="24"/>
          <w:szCs w:val="24"/>
        </w:rPr>
      </w:pPr>
      <w:r w:rsidRPr="00E644C4">
        <w:rPr>
          <w:sz w:val="24"/>
          <w:szCs w:val="24"/>
        </w:rPr>
        <w:t>Applies to all projects, public and private.</w:t>
      </w:r>
    </w:p>
    <w:p w14:paraId="05AD92C2" w14:textId="77777777" w:rsidR="00E644C4" w:rsidRPr="00E644C4" w:rsidRDefault="00E644C4" w:rsidP="001864E1">
      <w:pPr>
        <w:pStyle w:val="BodyText"/>
        <w:numPr>
          <w:ilvl w:val="1"/>
          <w:numId w:val="14"/>
        </w:numPr>
        <w:spacing w:after="0"/>
        <w:rPr>
          <w:sz w:val="24"/>
          <w:szCs w:val="24"/>
        </w:rPr>
      </w:pPr>
      <w:r w:rsidRPr="00E644C4">
        <w:rPr>
          <w:sz w:val="24"/>
          <w:szCs w:val="24"/>
        </w:rPr>
        <w:t xml:space="preserve">There is no liability for penalties or liquidated damages owed by subs, just the unpaid wages or benefits plus any interest.  </w:t>
      </w:r>
    </w:p>
    <w:p w14:paraId="05AD92C3" w14:textId="77777777" w:rsidR="00E644C4" w:rsidRDefault="00E644C4" w:rsidP="001864E1">
      <w:pPr>
        <w:pStyle w:val="BodyText"/>
        <w:numPr>
          <w:ilvl w:val="1"/>
          <w:numId w:val="14"/>
        </w:numPr>
        <w:spacing w:after="0"/>
        <w:rPr>
          <w:sz w:val="24"/>
          <w:szCs w:val="24"/>
        </w:rPr>
      </w:pPr>
      <w:r w:rsidRPr="00E644C4">
        <w:rPr>
          <w:sz w:val="24"/>
          <w:szCs w:val="24"/>
        </w:rPr>
        <w:t>The prime contractor can require the sub to produce detailed payroll re</w:t>
      </w:r>
      <w:r>
        <w:rPr>
          <w:sz w:val="24"/>
          <w:szCs w:val="24"/>
        </w:rPr>
        <w:t xml:space="preserve">cords to substantiate payment and </w:t>
      </w:r>
      <w:r w:rsidRPr="00E644C4">
        <w:rPr>
          <w:sz w:val="24"/>
          <w:szCs w:val="24"/>
        </w:rPr>
        <w:t xml:space="preserve">can withhold payment if the payroll information is not provided.  </w:t>
      </w:r>
    </w:p>
    <w:p w14:paraId="05AD92C4" w14:textId="77777777" w:rsidR="001864E1" w:rsidRPr="001864E1" w:rsidRDefault="001864E1" w:rsidP="001864E1">
      <w:pPr>
        <w:numPr>
          <w:ilvl w:val="1"/>
          <w:numId w:val="14"/>
        </w:numPr>
        <w:rPr>
          <w:sz w:val="24"/>
          <w:szCs w:val="24"/>
        </w:rPr>
      </w:pPr>
      <w:r w:rsidRPr="001864E1">
        <w:rPr>
          <w:sz w:val="24"/>
          <w:szCs w:val="24"/>
        </w:rPr>
        <w:t xml:space="preserve">This liability is in addition to a contractor’s liability for subcontractors’ failures to pay prevailing wages on public projects.  A public works contractor is liable for nonpayment or underpayment of prevailing wage by </w:t>
      </w:r>
      <w:r>
        <w:rPr>
          <w:sz w:val="24"/>
          <w:szCs w:val="24"/>
        </w:rPr>
        <w:t xml:space="preserve">its </w:t>
      </w:r>
      <w:r w:rsidRPr="001864E1">
        <w:rPr>
          <w:sz w:val="24"/>
          <w:szCs w:val="24"/>
        </w:rPr>
        <w:t>subcontractors.  And the contractor will be liable for penalties for nonpayment or underpayment unless it follows the safe harbor procedures of Labor Code section 1775 (including the relevant labor code provisions in its subco</w:t>
      </w:r>
      <w:r>
        <w:rPr>
          <w:sz w:val="24"/>
          <w:szCs w:val="24"/>
        </w:rPr>
        <w:t>ntract and monitoring</w:t>
      </w:r>
      <w:r w:rsidRPr="001864E1">
        <w:rPr>
          <w:sz w:val="24"/>
          <w:szCs w:val="24"/>
        </w:rPr>
        <w:t xml:space="preserve"> the subcontractors’ payments).  </w:t>
      </w:r>
    </w:p>
    <w:p w14:paraId="05AD92C5" w14:textId="77777777" w:rsidR="001864E1" w:rsidRDefault="001864E1" w:rsidP="001864E1">
      <w:pPr>
        <w:pStyle w:val="BodyText"/>
        <w:spacing w:after="0"/>
        <w:ind w:left="1440"/>
        <w:rPr>
          <w:sz w:val="24"/>
          <w:szCs w:val="24"/>
        </w:rPr>
      </w:pPr>
    </w:p>
    <w:p w14:paraId="05AD92C6" w14:textId="77777777" w:rsidR="00E644C4" w:rsidRPr="00E644C4" w:rsidRDefault="00E644C4" w:rsidP="00E644C4">
      <w:pPr>
        <w:pStyle w:val="BodyText"/>
        <w:spacing w:after="0"/>
        <w:ind w:left="1440"/>
        <w:rPr>
          <w:sz w:val="24"/>
          <w:szCs w:val="24"/>
        </w:rPr>
      </w:pPr>
    </w:p>
    <w:p w14:paraId="05AD92C7" w14:textId="77777777" w:rsidR="007F28F7" w:rsidRDefault="002115DE" w:rsidP="001864E1">
      <w:pPr>
        <w:pStyle w:val="BodyText"/>
        <w:numPr>
          <w:ilvl w:val="0"/>
          <w:numId w:val="14"/>
        </w:numPr>
        <w:rPr>
          <w:sz w:val="24"/>
          <w:szCs w:val="24"/>
          <w:u w:val="single"/>
        </w:rPr>
      </w:pPr>
      <w:r>
        <w:rPr>
          <w:sz w:val="24"/>
          <w:szCs w:val="24"/>
          <w:u w:val="single"/>
        </w:rPr>
        <w:lastRenderedPageBreak/>
        <w:t>AB 219 – Prevailing Wage for Read</w:t>
      </w:r>
      <w:r w:rsidR="001864E1">
        <w:rPr>
          <w:sz w:val="24"/>
          <w:szCs w:val="24"/>
          <w:u w:val="single"/>
        </w:rPr>
        <w:t>y</w:t>
      </w:r>
      <w:r>
        <w:rPr>
          <w:sz w:val="24"/>
          <w:szCs w:val="24"/>
          <w:u w:val="single"/>
        </w:rPr>
        <w:t>-Mix Drivers:</w:t>
      </w:r>
      <w:r>
        <w:rPr>
          <w:sz w:val="24"/>
          <w:szCs w:val="24"/>
        </w:rPr>
        <w:t xml:space="preserve">  This law, which took effect in 2016 and required the payment of prevailing wage to ready-mix drivers delivering to public projects, was challenged in a federal court lawsuit in Southern California.  The federal court </w:t>
      </w:r>
      <w:r w:rsidR="001864E1">
        <w:rPr>
          <w:sz w:val="24"/>
          <w:szCs w:val="24"/>
        </w:rPr>
        <w:t>stayed</w:t>
      </w:r>
      <w:r>
        <w:rPr>
          <w:sz w:val="24"/>
          <w:szCs w:val="24"/>
        </w:rPr>
        <w:t xml:space="preserve"> the implementation of the law briefly, but the 9</w:t>
      </w:r>
      <w:r w:rsidRPr="002115DE">
        <w:rPr>
          <w:sz w:val="24"/>
          <w:szCs w:val="24"/>
          <w:vertAlign w:val="superscript"/>
        </w:rPr>
        <w:t>th</w:t>
      </w:r>
      <w:r>
        <w:rPr>
          <w:sz w:val="24"/>
          <w:szCs w:val="24"/>
        </w:rPr>
        <w:t xml:space="preserve"> Circuit Court of Appeals has </w:t>
      </w:r>
      <w:r w:rsidR="001864E1">
        <w:rPr>
          <w:sz w:val="24"/>
          <w:szCs w:val="24"/>
        </w:rPr>
        <w:t>lifted</w:t>
      </w:r>
      <w:r>
        <w:rPr>
          <w:sz w:val="24"/>
          <w:szCs w:val="24"/>
        </w:rPr>
        <w:t xml:space="preserve"> that stay, and the law is in full enforcement by the State.  The challenge is still pending and contractors and agencies are advised to comply with the law in spite of this legal challenge.  </w:t>
      </w:r>
    </w:p>
    <w:p w14:paraId="05AD92C8" w14:textId="77777777" w:rsidR="003F7ED9" w:rsidRPr="002115DE" w:rsidRDefault="006814E2" w:rsidP="001864E1">
      <w:pPr>
        <w:pStyle w:val="BodyText"/>
        <w:numPr>
          <w:ilvl w:val="0"/>
          <w:numId w:val="14"/>
        </w:numPr>
        <w:rPr>
          <w:sz w:val="24"/>
          <w:szCs w:val="24"/>
          <w:u w:val="single"/>
        </w:rPr>
      </w:pPr>
      <w:r w:rsidRPr="00726917">
        <w:rPr>
          <w:i/>
          <w:sz w:val="24"/>
          <w:szCs w:val="24"/>
          <w:u w:val="single"/>
        </w:rPr>
        <w:t>Cinema We</w:t>
      </w:r>
      <w:r w:rsidR="007B0797" w:rsidRPr="00726917">
        <w:rPr>
          <w:i/>
          <w:sz w:val="24"/>
          <w:szCs w:val="24"/>
          <w:u w:val="single"/>
        </w:rPr>
        <w:t>st, LLC v. Baker</w:t>
      </w:r>
      <w:r w:rsidR="002115DE">
        <w:rPr>
          <w:sz w:val="24"/>
          <w:szCs w:val="24"/>
          <w:u w:val="single"/>
        </w:rPr>
        <w:t xml:space="preserve"> - </w:t>
      </w:r>
      <w:r w:rsidRPr="0030422F">
        <w:rPr>
          <w:sz w:val="24"/>
          <w:szCs w:val="24"/>
          <w:u w:val="single"/>
        </w:rPr>
        <w:t>Prevailing wage:</w:t>
      </w:r>
      <w:r w:rsidR="007B0797">
        <w:rPr>
          <w:sz w:val="24"/>
          <w:szCs w:val="24"/>
          <w:u w:val="single"/>
        </w:rPr>
        <w:t xml:space="preserve">  </w:t>
      </w:r>
      <w:r w:rsidRPr="007B0797">
        <w:rPr>
          <w:sz w:val="24"/>
          <w:szCs w:val="24"/>
        </w:rPr>
        <w:t>Court held that movie theater built and paid for by private developer was a public work</w:t>
      </w:r>
      <w:r w:rsidR="0030422F" w:rsidRPr="007B0797">
        <w:rPr>
          <w:sz w:val="24"/>
          <w:szCs w:val="24"/>
        </w:rPr>
        <w:t>, and therefore subject to prevailing wage,</w:t>
      </w:r>
      <w:r w:rsidRPr="007B0797">
        <w:rPr>
          <w:sz w:val="24"/>
          <w:szCs w:val="24"/>
        </w:rPr>
        <w:t xml:space="preserve"> because (1) adjacent parking lot and water improvements, paid for by City, were part of the same project and constituted a benefit to the private developer and (2) non-cash incentives to developer in the form of favorable loan terms and other provisions could also be considered “public funds.”</w:t>
      </w:r>
    </w:p>
    <w:p w14:paraId="05AD92C9" w14:textId="77777777" w:rsidR="007F28F7" w:rsidRPr="002115DE" w:rsidRDefault="007F28F7" w:rsidP="007F28F7">
      <w:pPr>
        <w:rPr>
          <w:b/>
          <w:sz w:val="24"/>
          <w:szCs w:val="24"/>
          <w:u w:val="single"/>
        </w:rPr>
      </w:pPr>
      <w:r w:rsidRPr="002115DE">
        <w:rPr>
          <w:b/>
          <w:sz w:val="24"/>
          <w:szCs w:val="24"/>
          <w:u w:val="single"/>
        </w:rPr>
        <w:t>Insurance and Defects</w:t>
      </w:r>
    </w:p>
    <w:p w14:paraId="05AD92CA" w14:textId="77777777" w:rsidR="007F28F7" w:rsidRDefault="007F28F7" w:rsidP="007F28F7">
      <w:pPr>
        <w:rPr>
          <w:sz w:val="24"/>
          <w:szCs w:val="24"/>
        </w:rPr>
      </w:pPr>
    </w:p>
    <w:p w14:paraId="05AD92CB" w14:textId="77777777" w:rsidR="007F28F7" w:rsidRDefault="007F28F7" w:rsidP="00726917">
      <w:pPr>
        <w:numPr>
          <w:ilvl w:val="0"/>
          <w:numId w:val="12"/>
        </w:numPr>
        <w:rPr>
          <w:sz w:val="24"/>
          <w:szCs w:val="24"/>
        </w:rPr>
      </w:pPr>
      <w:r w:rsidRPr="00726917">
        <w:rPr>
          <w:i/>
          <w:sz w:val="24"/>
          <w:szCs w:val="24"/>
          <w:u w:val="single"/>
        </w:rPr>
        <w:t>Energy Insurance Mutual</w:t>
      </w:r>
      <w:r w:rsidR="00E94513" w:rsidRPr="00726917">
        <w:rPr>
          <w:i/>
          <w:sz w:val="24"/>
          <w:szCs w:val="24"/>
          <w:u w:val="single"/>
        </w:rPr>
        <w:t xml:space="preserve"> Ltd. v. Ace American Ins. Co.</w:t>
      </w:r>
      <w:r w:rsidR="00E94513" w:rsidRPr="00E94513">
        <w:rPr>
          <w:sz w:val="24"/>
          <w:szCs w:val="24"/>
          <w:u w:val="single"/>
        </w:rPr>
        <w:t xml:space="preserve"> – Insurance Coverage for Professional Services</w:t>
      </w:r>
      <w:r w:rsidR="00E94513">
        <w:rPr>
          <w:sz w:val="24"/>
          <w:szCs w:val="24"/>
        </w:rPr>
        <w:t>:</w:t>
      </w:r>
    </w:p>
    <w:p w14:paraId="05AD92CC" w14:textId="77777777" w:rsidR="00E94513" w:rsidRDefault="001864E1" w:rsidP="00726917">
      <w:pPr>
        <w:numPr>
          <w:ilvl w:val="1"/>
          <w:numId w:val="12"/>
        </w:numPr>
        <w:rPr>
          <w:sz w:val="24"/>
          <w:szCs w:val="24"/>
        </w:rPr>
      </w:pPr>
      <w:r>
        <w:rPr>
          <w:sz w:val="24"/>
          <w:szCs w:val="24"/>
        </w:rPr>
        <w:t>Arose</w:t>
      </w:r>
      <w:r w:rsidR="00E94513">
        <w:rPr>
          <w:sz w:val="24"/>
          <w:szCs w:val="24"/>
        </w:rPr>
        <w:t xml:space="preserve"> out of Kinder Morgan pipeline explosion in Walnut Creek.</w:t>
      </w:r>
    </w:p>
    <w:p w14:paraId="05AD92CD" w14:textId="77777777" w:rsidR="00E94513" w:rsidRDefault="00E94513" w:rsidP="00726917">
      <w:pPr>
        <w:numPr>
          <w:ilvl w:val="1"/>
          <w:numId w:val="12"/>
        </w:numPr>
        <w:rPr>
          <w:sz w:val="24"/>
          <w:szCs w:val="24"/>
        </w:rPr>
      </w:pPr>
      <w:r>
        <w:rPr>
          <w:sz w:val="24"/>
          <w:szCs w:val="24"/>
        </w:rPr>
        <w:t xml:space="preserve">Court held that professional services exclusion in commercial general liability policy defeated coverage for workers responsible for mapping and marking the pipeline.  </w:t>
      </w:r>
    </w:p>
    <w:p w14:paraId="05AD92CE" w14:textId="77777777" w:rsidR="00E94513" w:rsidRDefault="00E94513" w:rsidP="00E94513">
      <w:pPr>
        <w:ind w:left="1440"/>
        <w:rPr>
          <w:sz w:val="24"/>
          <w:szCs w:val="24"/>
        </w:rPr>
      </w:pPr>
    </w:p>
    <w:p w14:paraId="05AD92CF" w14:textId="77777777" w:rsidR="007F28F7" w:rsidRPr="00E94513" w:rsidRDefault="007F28F7" w:rsidP="00726917">
      <w:pPr>
        <w:numPr>
          <w:ilvl w:val="0"/>
          <w:numId w:val="12"/>
        </w:numPr>
        <w:rPr>
          <w:sz w:val="24"/>
          <w:szCs w:val="24"/>
          <w:u w:val="single"/>
        </w:rPr>
      </w:pPr>
      <w:r w:rsidRPr="00726917">
        <w:rPr>
          <w:i/>
          <w:sz w:val="24"/>
          <w:szCs w:val="24"/>
          <w:u w:val="single"/>
        </w:rPr>
        <w:t>Estuary Owners</w:t>
      </w:r>
      <w:r w:rsidR="00E94513" w:rsidRPr="00726917">
        <w:rPr>
          <w:i/>
          <w:sz w:val="24"/>
          <w:szCs w:val="24"/>
          <w:u w:val="single"/>
        </w:rPr>
        <w:t xml:space="preserve"> Ass’n v. Shell Oil Company</w:t>
      </w:r>
      <w:r w:rsidR="00E94513" w:rsidRPr="00E94513">
        <w:rPr>
          <w:sz w:val="24"/>
          <w:szCs w:val="24"/>
          <w:u w:val="single"/>
        </w:rPr>
        <w:t xml:space="preserve"> – Statute of Repose for Construction Defects: </w:t>
      </w:r>
    </w:p>
    <w:p w14:paraId="05AD92D0" w14:textId="77777777" w:rsidR="00E94513" w:rsidRDefault="00E94513" w:rsidP="00726917">
      <w:pPr>
        <w:numPr>
          <w:ilvl w:val="1"/>
          <w:numId w:val="12"/>
        </w:numPr>
        <w:rPr>
          <w:sz w:val="24"/>
          <w:szCs w:val="24"/>
        </w:rPr>
      </w:pPr>
      <w:r>
        <w:rPr>
          <w:sz w:val="24"/>
          <w:szCs w:val="24"/>
        </w:rPr>
        <w:t xml:space="preserve">The standard statutes of repose for construction defect actions (4 years from substantial completion for “patent” defects and 10 years from substantial completion for “latent” defects) do not apply to claims of soil contamination.  </w:t>
      </w:r>
    </w:p>
    <w:p w14:paraId="05AD92D1" w14:textId="77777777" w:rsidR="00E94513" w:rsidRDefault="00E94513" w:rsidP="00E94513">
      <w:pPr>
        <w:ind w:left="1440"/>
        <w:rPr>
          <w:sz w:val="24"/>
          <w:szCs w:val="24"/>
        </w:rPr>
      </w:pPr>
    </w:p>
    <w:p w14:paraId="05AD92D2" w14:textId="77777777" w:rsidR="007F28F7" w:rsidRPr="00726917" w:rsidRDefault="007F28F7" w:rsidP="00726917">
      <w:pPr>
        <w:numPr>
          <w:ilvl w:val="0"/>
          <w:numId w:val="12"/>
        </w:numPr>
        <w:rPr>
          <w:i/>
          <w:sz w:val="24"/>
          <w:szCs w:val="24"/>
          <w:u w:val="single"/>
        </w:rPr>
      </w:pPr>
      <w:r w:rsidRPr="00726917">
        <w:rPr>
          <w:i/>
          <w:sz w:val="24"/>
          <w:szCs w:val="24"/>
          <w:u w:val="single"/>
        </w:rPr>
        <w:t>Alvarez v. Seaside</w:t>
      </w:r>
      <w:r w:rsidR="006A7CE3" w:rsidRPr="00726917">
        <w:rPr>
          <w:i/>
          <w:sz w:val="24"/>
          <w:szCs w:val="24"/>
          <w:u w:val="single"/>
        </w:rPr>
        <w:t xml:space="preserve"> Transportation Services </w:t>
      </w:r>
      <w:r w:rsidR="006A7CE3" w:rsidRPr="00726917">
        <w:rPr>
          <w:sz w:val="24"/>
          <w:szCs w:val="24"/>
          <w:u w:val="single"/>
        </w:rPr>
        <w:t xml:space="preserve">– Liability for Injuries to Employee of Independent Contractor: </w:t>
      </w:r>
    </w:p>
    <w:p w14:paraId="05AD92D3" w14:textId="77777777" w:rsidR="006A7CE3" w:rsidRDefault="006A7CE3" w:rsidP="00726917">
      <w:pPr>
        <w:numPr>
          <w:ilvl w:val="1"/>
          <w:numId w:val="12"/>
        </w:numPr>
        <w:rPr>
          <w:sz w:val="24"/>
          <w:szCs w:val="24"/>
        </w:rPr>
      </w:pPr>
      <w:r>
        <w:rPr>
          <w:sz w:val="24"/>
          <w:szCs w:val="24"/>
        </w:rPr>
        <w:t xml:space="preserve">This case reaffirms the so-called “Privette Doctrine,” which holds that someone who hires an independent contractor is not liable for the injuries to that contractor’s employees except under certain identified circumstances.  </w:t>
      </w:r>
    </w:p>
    <w:p w14:paraId="05AD92D4" w14:textId="77777777" w:rsidR="006A7CE3" w:rsidRDefault="006A7CE3" w:rsidP="00726917">
      <w:pPr>
        <w:numPr>
          <w:ilvl w:val="1"/>
          <w:numId w:val="12"/>
        </w:numPr>
        <w:rPr>
          <w:sz w:val="24"/>
          <w:szCs w:val="24"/>
        </w:rPr>
      </w:pPr>
      <w:r>
        <w:rPr>
          <w:sz w:val="24"/>
          <w:szCs w:val="24"/>
        </w:rPr>
        <w:t xml:space="preserve">One of those circumstances is where the hirer retains control </w:t>
      </w:r>
      <w:r w:rsidR="007261BB">
        <w:rPr>
          <w:sz w:val="24"/>
          <w:szCs w:val="24"/>
        </w:rPr>
        <w:t>over the work.  Here, in the context of a construction project, a contractor or owner can be liable when it "</w:t>
      </w:r>
      <w:r w:rsidR="007261BB" w:rsidRPr="007261BB">
        <w:rPr>
          <w:sz w:val="24"/>
          <w:szCs w:val="24"/>
        </w:rPr>
        <w:t>is actively involved in, or asserts control over, the manner of performance of t</w:t>
      </w:r>
      <w:r w:rsidR="007261BB">
        <w:rPr>
          <w:sz w:val="24"/>
          <w:szCs w:val="24"/>
        </w:rPr>
        <w:t xml:space="preserve">he contracted work … </w:t>
      </w:r>
      <w:r w:rsidR="007261BB" w:rsidRPr="007261BB">
        <w:rPr>
          <w:sz w:val="24"/>
          <w:szCs w:val="24"/>
        </w:rPr>
        <w:t>Such an assertion of control occurs, for example, when the principal employer directs that the contracted work be done by use of a certain mode or otherwise interferes with the means and methods by which the work is to be accomplished.</w:t>
      </w:r>
      <w:r w:rsidR="007261BB">
        <w:rPr>
          <w:sz w:val="24"/>
          <w:szCs w:val="24"/>
        </w:rPr>
        <w:t>”</w:t>
      </w:r>
    </w:p>
    <w:p w14:paraId="05AD92D5" w14:textId="77777777" w:rsidR="005C4FA1" w:rsidRDefault="005C4FA1" w:rsidP="005C4FA1">
      <w:pPr>
        <w:ind w:left="1440"/>
        <w:rPr>
          <w:sz w:val="24"/>
          <w:szCs w:val="24"/>
        </w:rPr>
      </w:pPr>
    </w:p>
    <w:p w14:paraId="05AD92D6" w14:textId="77777777" w:rsidR="001864E1" w:rsidRDefault="001864E1" w:rsidP="005C4FA1">
      <w:pPr>
        <w:ind w:left="1440"/>
        <w:rPr>
          <w:sz w:val="24"/>
          <w:szCs w:val="24"/>
        </w:rPr>
      </w:pPr>
    </w:p>
    <w:p w14:paraId="05AD92D7" w14:textId="77777777" w:rsidR="001864E1" w:rsidRDefault="001864E1" w:rsidP="005C4FA1">
      <w:pPr>
        <w:ind w:left="1440"/>
        <w:rPr>
          <w:sz w:val="24"/>
          <w:szCs w:val="24"/>
        </w:rPr>
      </w:pPr>
    </w:p>
    <w:p w14:paraId="05AD92D8" w14:textId="77777777" w:rsidR="007F28F7" w:rsidRPr="00DB6DE4" w:rsidRDefault="007F28F7" w:rsidP="00726917">
      <w:pPr>
        <w:numPr>
          <w:ilvl w:val="0"/>
          <w:numId w:val="12"/>
        </w:numPr>
        <w:rPr>
          <w:sz w:val="24"/>
          <w:szCs w:val="24"/>
          <w:u w:val="single"/>
        </w:rPr>
      </w:pPr>
      <w:r w:rsidRPr="00726917">
        <w:rPr>
          <w:i/>
          <w:sz w:val="24"/>
          <w:szCs w:val="24"/>
          <w:u w:val="single"/>
        </w:rPr>
        <w:lastRenderedPageBreak/>
        <w:t xml:space="preserve">Gilotti </w:t>
      </w:r>
      <w:r w:rsidR="005C4FA1" w:rsidRPr="00726917">
        <w:rPr>
          <w:i/>
          <w:sz w:val="24"/>
          <w:szCs w:val="24"/>
          <w:u w:val="single"/>
        </w:rPr>
        <w:t>v. Stewart</w:t>
      </w:r>
      <w:r w:rsidR="005C4FA1" w:rsidRPr="00DB6DE4">
        <w:rPr>
          <w:sz w:val="24"/>
          <w:szCs w:val="24"/>
          <w:u w:val="single"/>
        </w:rPr>
        <w:t xml:space="preserve"> – Residential Construction/Right to Repair Act</w:t>
      </w:r>
      <w:r w:rsidR="00DB6DE4" w:rsidRPr="00DB6DE4">
        <w:rPr>
          <w:sz w:val="24"/>
          <w:szCs w:val="24"/>
          <w:u w:val="single"/>
        </w:rPr>
        <w:t xml:space="preserve">: </w:t>
      </w:r>
    </w:p>
    <w:p w14:paraId="05AD92D9" w14:textId="77777777" w:rsidR="005C4FA1" w:rsidRDefault="005C4FA1" w:rsidP="00726917">
      <w:pPr>
        <w:numPr>
          <w:ilvl w:val="1"/>
          <w:numId w:val="12"/>
        </w:numPr>
        <w:rPr>
          <w:sz w:val="24"/>
          <w:szCs w:val="24"/>
        </w:rPr>
      </w:pPr>
      <w:r>
        <w:rPr>
          <w:sz w:val="24"/>
          <w:szCs w:val="24"/>
        </w:rPr>
        <w:t xml:space="preserve">A homeowner must comply with the procedures and remedies applicable to the Right to Repair Act for claims against builders on residential construction projects, and cannot maintain common law actions for negligence </w:t>
      </w:r>
      <w:r w:rsidR="00DB6DE4">
        <w:rPr>
          <w:sz w:val="24"/>
          <w:szCs w:val="24"/>
        </w:rPr>
        <w:t xml:space="preserve">for claims covered by the Right to Repair Act.  </w:t>
      </w:r>
    </w:p>
    <w:p w14:paraId="05AD92DA" w14:textId="77777777" w:rsidR="005C4FA1" w:rsidRDefault="005C4FA1" w:rsidP="00726917">
      <w:pPr>
        <w:numPr>
          <w:ilvl w:val="1"/>
          <w:numId w:val="12"/>
        </w:numPr>
        <w:rPr>
          <w:sz w:val="24"/>
          <w:szCs w:val="24"/>
        </w:rPr>
      </w:pPr>
      <w:r>
        <w:rPr>
          <w:sz w:val="24"/>
          <w:szCs w:val="24"/>
        </w:rPr>
        <w:t xml:space="preserve">Defects covered by the Right to Repair Act include not only damage to the buildings and structures, but to improvements such as driveways and landscaping.  </w:t>
      </w:r>
    </w:p>
    <w:p w14:paraId="05AD92DB" w14:textId="77777777" w:rsidR="007F28F7" w:rsidRDefault="007F28F7" w:rsidP="007F28F7">
      <w:pPr>
        <w:rPr>
          <w:sz w:val="24"/>
          <w:szCs w:val="24"/>
        </w:rPr>
      </w:pPr>
    </w:p>
    <w:p w14:paraId="05AD92DC" w14:textId="77777777" w:rsidR="007F28F7" w:rsidRPr="00DB6DE4" w:rsidRDefault="007F28F7" w:rsidP="007F28F7">
      <w:pPr>
        <w:rPr>
          <w:b/>
          <w:sz w:val="24"/>
          <w:szCs w:val="24"/>
          <w:u w:val="single"/>
        </w:rPr>
      </w:pPr>
      <w:r w:rsidRPr="00DB6DE4">
        <w:rPr>
          <w:b/>
          <w:sz w:val="24"/>
          <w:szCs w:val="24"/>
          <w:u w:val="single"/>
        </w:rPr>
        <w:t>Public Bidding</w:t>
      </w:r>
    </w:p>
    <w:p w14:paraId="05AD92DD" w14:textId="77777777" w:rsidR="007F28F7" w:rsidRDefault="007F28F7" w:rsidP="007F28F7">
      <w:pPr>
        <w:rPr>
          <w:sz w:val="24"/>
          <w:szCs w:val="24"/>
        </w:rPr>
      </w:pPr>
    </w:p>
    <w:p w14:paraId="05AD92DE" w14:textId="77777777" w:rsidR="004E2588" w:rsidRPr="00DB6DE4" w:rsidRDefault="004E2588" w:rsidP="004E2588">
      <w:pPr>
        <w:numPr>
          <w:ilvl w:val="0"/>
          <w:numId w:val="10"/>
        </w:numPr>
        <w:rPr>
          <w:sz w:val="24"/>
          <w:szCs w:val="24"/>
          <w:u w:val="single"/>
        </w:rPr>
      </w:pPr>
      <w:r w:rsidRPr="00726917">
        <w:rPr>
          <w:i/>
          <w:sz w:val="24"/>
          <w:szCs w:val="24"/>
          <w:u w:val="single"/>
        </w:rPr>
        <w:t>SJJC Aviatio</w:t>
      </w:r>
      <w:r w:rsidR="00DB6DE4" w:rsidRPr="00726917">
        <w:rPr>
          <w:i/>
          <w:sz w:val="24"/>
          <w:szCs w:val="24"/>
          <w:u w:val="single"/>
        </w:rPr>
        <w:t>n Services v. City of San Jose</w:t>
      </w:r>
      <w:r w:rsidR="00DB6DE4" w:rsidRPr="00DB6DE4">
        <w:rPr>
          <w:sz w:val="24"/>
          <w:szCs w:val="24"/>
          <w:u w:val="single"/>
        </w:rPr>
        <w:t xml:space="preserve">: </w:t>
      </w:r>
    </w:p>
    <w:p w14:paraId="05AD92DF" w14:textId="77777777" w:rsidR="004E2588" w:rsidRDefault="004E2588" w:rsidP="004E2588">
      <w:pPr>
        <w:numPr>
          <w:ilvl w:val="1"/>
          <w:numId w:val="10"/>
        </w:numPr>
        <w:rPr>
          <w:sz w:val="24"/>
          <w:szCs w:val="24"/>
        </w:rPr>
      </w:pPr>
      <w:r w:rsidRPr="004E2588">
        <w:rPr>
          <w:sz w:val="24"/>
          <w:szCs w:val="24"/>
        </w:rPr>
        <w:t xml:space="preserve">On bid dispute over the award of a lease and operating agreement, a disgruntled bidder did not have standing to challenge the City’s award to a competitor, because the aggrieved bidder had submitted a nonresponsive proposal and therefore could not have obtained the contract even if the City did not award to the other contractor.  </w:t>
      </w:r>
    </w:p>
    <w:p w14:paraId="05AD92E0" w14:textId="77777777" w:rsidR="00DB6DE4" w:rsidRDefault="00DB6DE4" w:rsidP="004E2588">
      <w:pPr>
        <w:numPr>
          <w:ilvl w:val="1"/>
          <w:numId w:val="10"/>
        </w:numPr>
        <w:rPr>
          <w:sz w:val="24"/>
          <w:szCs w:val="24"/>
        </w:rPr>
      </w:pPr>
      <w:r>
        <w:rPr>
          <w:sz w:val="24"/>
          <w:szCs w:val="24"/>
        </w:rPr>
        <w:t xml:space="preserve">Reinforces the rule that, in order to successfully challenge the award of a public contract, the challenger must be eligible to receive the contract.  </w:t>
      </w:r>
    </w:p>
    <w:p w14:paraId="05AD92E1" w14:textId="77777777" w:rsidR="00DB6DE4" w:rsidRPr="004E2588" w:rsidRDefault="00DB6DE4" w:rsidP="00DB6DE4">
      <w:pPr>
        <w:ind w:left="1440"/>
        <w:rPr>
          <w:sz w:val="24"/>
          <w:szCs w:val="24"/>
        </w:rPr>
      </w:pPr>
    </w:p>
    <w:p w14:paraId="05AD92E2" w14:textId="77777777" w:rsidR="004E2588" w:rsidRPr="00726917" w:rsidRDefault="004E2588" w:rsidP="004E2588">
      <w:pPr>
        <w:numPr>
          <w:ilvl w:val="0"/>
          <w:numId w:val="10"/>
        </w:numPr>
        <w:rPr>
          <w:i/>
          <w:sz w:val="24"/>
          <w:szCs w:val="24"/>
        </w:rPr>
      </w:pPr>
      <w:r w:rsidRPr="00726917">
        <w:rPr>
          <w:i/>
          <w:sz w:val="24"/>
          <w:szCs w:val="24"/>
          <w:u w:val="single"/>
        </w:rPr>
        <w:t>Roy Allan Slurry Seal, Inc. v. American Asp</w:t>
      </w:r>
      <w:r w:rsidR="00DB6DE4" w:rsidRPr="00726917">
        <w:rPr>
          <w:i/>
          <w:sz w:val="24"/>
          <w:szCs w:val="24"/>
          <w:u w:val="single"/>
        </w:rPr>
        <w:t>halt South, Inc.</w:t>
      </w:r>
      <w:r w:rsidRPr="00726917">
        <w:rPr>
          <w:i/>
          <w:sz w:val="24"/>
          <w:szCs w:val="24"/>
        </w:rPr>
        <w:t xml:space="preserve">: </w:t>
      </w:r>
    </w:p>
    <w:p w14:paraId="05AD92E3" w14:textId="77777777" w:rsidR="004E2588" w:rsidRPr="004E2588" w:rsidRDefault="004E2588" w:rsidP="004E2588">
      <w:pPr>
        <w:numPr>
          <w:ilvl w:val="1"/>
          <w:numId w:val="10"/>
        </w:numPr>
        <w:rPr>
          <w:sz w:val="24"/>
          <w:szCs w:val="24"/>
        </w:rPr>
      </w:pPr>
      <w:r w:rsidRPr="004E2588">
        <w:rPr>
          <w:sz w:val="24"/>
          <w:szCs w:val="24"/>
        </w:rPr>
        <w:t xml:space="preserve">2nd low bidder claimed that it lost many public works contracts because its competitor submitted deflated bids facilitated by nonpayment of prevailing wage and required overtime to employees.  Sued competitor for intentional interference with prospective economic advantage.  </w:t>
      </w:r>
    </w:p>
    <w:p w14:paraId="05AD92E4" w14:textId="77777777" w:rsidR="004E2588" w:rsidRPr="004E2588" w:rsidRDefault="004E2588" w:rsidP="004E2588">
      <w:pPr>
        <w:numPr>
          <w:ilvl w:val="1"/>
          <w:numId w:val="10"/>
        </w:numPr>
        <w:rPr>
          <w:sz w:val="24"/>
          <w:szCs w:val="24"/>
        </w:rPr>
      </w:pPr>
      <w:r w:rsidRPr="004E2588">
        <w:rPr>
          <w:sz w:val="24"/>
          <w:szCs w:val="24"/>
        </w:rPr>
        <w:t xml:space="preserve">Court ruled that the losing bidder on a public works contract cannot state a cause of action for intentional interference with prospective economic advantage against the winning bidder because the prospect of obtaining a public works contract is not certain, given the many constraints on the public bidding process and discretion given to public agencies to reject all bids.  </w:t>
      </w:r>
    </w:p>
    <w:p w14:paraId="05AD92E5" w14:textId="77777777" w:rsidR="004E2588" w:rsidRDefault="004E2588" w:rsidP="00DB6DE4">
      <w:pPr>
        <w:ind w:left="720"/>
        <w:rPr>
          <w:sz w:val="24"/>
          <w:szCs w:val="24"/>
        </w:rPr>
      </w:pPr>
    </w:p>
    <w:p w14:paraId="05AD92E6" w14:textId="77777777" w:rsidR="004E2588" w:rsidRPr="00DB6DE4" w:rsidRDefault="004E2588" w:rsidP="004E2588">
      <w:pPr>
        <w:numPr>
          <w:ilvl w:val="0"/>
          <w:numId w:val="10"/>
        </w:numPr>
        <w:rPr>
          <w:sz w:val="24"/>
          <w:szCs w:val="24"/>
          <w:u w:val="single"/>
        </w:rPr>
      </w:pPr>
      <w:r w:rsidRPr="00726917">
        <w:rPr>
          <w:i/>
          <w:sz w:val="24"/>
          <w:szCs w:val="24"/>
          <w:u w:val="single"/>
        </w:rPr>
        <w:t>California Taxpayers Action Network v. Taber</w:t>
      </w:r>
      <w:r w:rsidRPr="00DB6DE4">
        <w:rPr>
          <w:sz w:val="24"/>
          <w:szCs w:val="24"/>
          <w:u w:val="single"/>
        </w:rPr>
        <w:t xml:space="preserve"> (Lease-Leaseback Contract</w:t>
      </w:r>
      <w:r w:rsidR="00DB6DE4" w:rsidRPr="00DB6DE4">
        <w:rPr>
          <w:sz w:val="24"/>
          <w:szCs w:val="24"/>
          <w:u w:val="single"/>
        </w:rPr>
        <w:t>s</w:t>
      </w:r>
      <w:r w:rsidRPr="00DB6DE4">
        <w:rPr>
          <w:sz w:val="24"/>
          <w:szCs w:val="24"/>
          <w:u w:val="single"/>
        </w:rPr>
        <w:t>):</w:t>
      </w:r>
    </w:p>
    <w:p w14:paraId="05AD92E7" w14:textId="77777777" w:rsidR="004E2588" w:rsidRPr="004E2588" w:rsidRDefault="004E2588" w:rsidP="004E2588">
      <w:pPr>
        <w:numPr>
          <w:ilvl w:val="1"/>
          <w:numId w:val="10"/>
        </w:numPr>
        <w:rPr>
          <w:sz w:val="24"/>
          <w:szCs w:val="24"/>
        </w:rPr>
      </w:pPr>
      <w:r w:rsidRPr="004E2588">
        <w:rPr>
          <w:sz w:val="24"/>
          <w:szCs w:val="24"/>
        </w:rPr>
        <w:t xml:space="preserve">This is a case decided </w:t>
      </w:r>
      <w:r w:rsidR="00DB6DE4">
        <w:rPr>
          <w:sz w:val="24"/>
          <w:szCs w:val="24"/>
        </w:rPr>
        <w:t xml:space="preserve">under the Lease-Leaseback (“LLB”) statutes prior to their amendment on January 1, 2017, in response to the decision in </w:t>
      </w:r>
      <w:r w:rsidR="00DB6DE4" w:rsidRPr="001864E1">
        <w:rPr>
          <w:i/>
          <w:sz w:val="24"/>
          <w:szCs w:val="24"/>
        </w:rPr>
        <w:t xml:space="preserve">Davis v. Fresno </w:t>
      </w:r>
      <w:r w:rsidR="003525F9" w:rsidRPr="001864E1">
        <w:rPr>
          <w:i/>
          <w:sz w:val="24"/>
          <w:szCs w:val="24"/>
        </w:rPr>
        <w:t>Unified School District</w:t>
      </w:r>
      <w:r w:rsidR="003525F9">
        <w:rPr>
          <w:sz w:val="24"/>
          <w:szCs w:val="24"/>
        </w:rPr>
        <w:t xml:space="preserve">.  The </w:t>
      </w:r>
      <w:r w:rsidR="003525F9" w:rsidRPr="001864E1">
        <w:rPr>
          <w:i/>
          <w:sz w:val="24"/>
          <w:szCs w:val="24"/>
        </w:rPr>
        <w:t>Davis</w:t>
      </w:r>
      <w:r w:rsidR="003525F9">
        <w:rPr>
          <w:sz w:val="24"/>
          <w:szCs w:val="24"/>
        </w:rPr>
        <w:t xml:space="preserve"> case suggested that </w:t>
      </w:r>
      <w:r w:rsidR="00DB6DE4">
        <w:rPr>
          <w:sz w:val="24"/>
          <w:szCs w:val="24"/>
        </w:rPr>
        <w:t xml:space="preserve">that </w:t>
      </w:r>
      <w:r w:rsidR="003525F9">
        <w:rPr>
          <w:sz w:val="24"/>
          <w:szCs w:val="24"/>
        </w:rPr>
        <w:t xml:space="preserve">(1) </w:t>
      </w:r>
      <w:r w:rsidR="00DB6DE4">
        <w:rPr>
          <w:sz w:val="24"/>
          <w:szCs w:val="24"/>
        </w:rPr>
        <w:t>LLB contracts needed to</w:t>
      </w:r>
      <w:r w:rsidR="003525F9">
        <w:rPr>
          <w:sz w:val="24"/>
          <w:szCs w:val="24"/>
        </w:rPr>
        <w:t xml:space="preserve"> have a contractor financing component to be valid and (2) contractors could be subject to conflict of i</w:t>
      </w:r>
      <w:r w:rsidR="001864E1">
        <w:rPr>
          <w:sz w:val="24"/>
          <w:szCs w:val="24"/>
        </w:rPr>
        <w:t>nterest claims if they had</w:t>
      </w:r>
      <w:r w:rsidR="003525F9">
        <w:rPr>
          <w:sz w:val="24"/>
          <w:szCs w:val="24"/>
        </w:rPr>
        <w:t xml:space="preserve"> preconstruction services contracts with school districts prior to receiving a LLB contract.  </w:t>
      </w:r>
    </w:p>
    <w:p w14:paraId="05AD92E8" w14:textId="77777777" w:rsidR="004E2588" w:rsidRPr="004E2588" w:rsidRDefault="003525F9" w:rsidP="004E2588">
      <w:pPr>
        <w:numPr>
          <w:ilvl w:val="1"/>
          <w:numId w:val="10"/>
        </w:numPr>
        <w:rPr>
          <w:sz w:val="24"/>
          <w:szCs w:val="24"/>
        </w:rPr>
      </w:pPr>
      <w:r>
        <w:rPr>
          <w:sz w:val="24"/>
          <w:szCs w:val="24"/>
        </w:rPr>
        <w:t>The c</w:t>
      </w:r>
      <w:r w:rsidR="004E2588" w:rsidRPr="004E2588">
        <w:rPr>
          <w:sz w:val="24"/>
          <w:szCs w:val="24"/>
        </w:rPr>
        <w:t>ourt</w:t>
      </w:r>
      <w:r>
        <w:rPr>
          <w:sz w:val="24"/>
          <w:szCs w:val="24"/>
        </w:rPr>
        <w:t xml:space="preserve"> in </w:t>
      </w:r>
      <w:r w:rsidRPr="001864E1">
        <w:rPr>
          <w:i/>
          <w:sz w:val="24"/>
          <w:szCs w:val="24"/>
        </w:rPr>
        <w:t>Taber</w:t>
      </w:r>
      <w:r w:rsidR="004E2588" w:rsidRPr="004E2588">
        <w:rPr>
          <w:sz w:val="24"/>
          <w:szCs w:val="24"/>
        </w:rPr>
        <w:t xml:space="preserve"> </w:t>
      </w:r>
      <w:r>
        <w:rPr>
          <w:sz w:val="24"/>
          <w:szCs w:val="24"/>
        </w:rPr>
        <w:t xml:space="preserve">held that the former LLB statutes did not require a contractor financing component.  </w:t>
      </w:r>
      <w:r w:rsidR="00DB6DE4">
        <w:rPr>
          <w:sz w:val="24"/>
          <w:szCs w:val="24"/>
        </w:rPr>
        <w:t xml:space="preserve">  </w:t>
      </w:r>
    </w:p>
    <w:p w14:paraId="05AD92E9" w14:textId="77777777" w:rsidR="004E2588" w:rsidRPr="004E2588" w:rsidRDefault="004E2588" w:rsidP="004E2588">
      <w:pPr>
        <w:numPr>
          <w:ilvl w:val="1"/>
          <w:numId w:val="10"/>
        </w:numPr>
        <w:rPr>
          <w:sz w:val="24"/>
          <w:szCs w:val="24"/>
        </w:rPr>
      </w:pPr>
      <w:r w:rsidRPr="004E2588">
        <w:rPr>
          <w:sz w:val="24"/>
          <w:szCs w:val="24"/>
        </w:rPr>
        <w:t xml:space="preserve">However, the court </w:t>
      </w:r>
      <w:r w:rsidR="003525F9">
        <w:rPr>
          <w:sz w:val="24"/>
          <w:szCs w:val="24"/>
        </w:rPr>
        <w:t xml:space="preserve">echoed </w:t>
      </w:r>
      <w:r w:rsidR="003525F9" w:rsidRPr="001864E1">
        <w:rPr>
          <w:i/>
          <w:sz w:val="24"/>
          <w:szCs w:val="24"/>
        </w:rPr>
        <w:t>Davis’s</w:t>
      </w:r>
      <w:r w:rsidR="003525F9">
        <w:rPr>
          <w:sz w:val="24"/>
          <w:szCs w:val="24"/>
        </w:rPr>
        <w:t xml:space="preserve"> ruling</w:t>
      </w:r>
      <w:r w:rsidRPr="004E2588">
        <w:rPr>
          <w:sz w:val="24"/>
          <w:szCs w:val="24"/>
        </w:rPr>
        <w:t xml:space="preserve"> that a contractor who provides preconstruction services under a separate contract before getting the LLB contract is </w:t>
      </w:r>
      <w:r w:rsidRPr="004E2588">
        <w:rPr>
          <w:sz w:val="24"/>
          <w:szCs w:val="24"/>
        </w:rPr>
        <w:lastRenderedPageBreak/>
        <w:t>susceptible to a claim for conflict of interest under Gov. Code section 1090</w:t>
      </w:r>
      <w:r w:rsidR="001864E1">
        <w:rPr>
          <w:sz w:val="24"/>
          <w:szCs w:val="24"/>
        </w:rPr>
        <w:t>, which could invalidate the LLB contract</w:t>
      </w:r>
      <w:r w:rsidRPr="004E2588">
        <w:rPr>
          <w:sz w:val="24"/>
          <w:szCs w:val="24"/>
        </w:rPr>
        <w:t xml:space="preserve">.  </w:t>
      </w:r>
    </w:p>
    <w:p w14:paraId="05AD92EA" w14:textId="77777777" w:rsidR="004E2588" w:rsidRPr="003525F9" w:rsidRDefault="001864E1" w:rsidP="003525F9">
      <w:pPr>
        <w:numPr>
          <w:ilvl w:val="1"/>
          <w:numId w:val="10"/>
        </w:numPr>
        <w:rPr>
          <w:sz w:val="24"/>
          <w:szCs w:val="24"/>
        </w:rPr>
      </w:pPr>
      <w:r>
        <w:rPr>
          <w:sz w:val="24"/>
          <w:szCs w:val="24"/>
        </w:rPr>
        <w:t>The</w:t>
      </w:r>
      <w:r w:rsidR="004E2588" w:rsidRPr="004E2588">
        <w:rPr>
          <w:sz w:val="24"/>
          <w:szCs w:val="24"/>
        </w:rPr>
        <w:t xml:space="preserve"> new </w:t>
      </w:r>
      <w:r w:rsidR="003525F9">
        <w:rPr>
          <w:sz w:val="24"/>
          <w:szCs w:val="24"/>
        </w:rPr>
        <w:t>LLB statutes do</w:t>
      </w:r>
      <w:r w:rsidR="004E2588" w:rsidRPr="004E2588">
        <w:rPr>
          <w:sz w:val="24"/>
          <w:szCs w:val="24"/>
        </w:rPr>
        <w:t xml:space="preserve"> not </w:t>
      </w:r>
      <w:r w:rsidR="003525F9">
        <w:rPr>
          <w:sz w:val="24"/>
          <w:szCs w:val="24"/>
        </w:rPr>
        <w:t xml:space="preserve">necessarily </w:t>
      </w:r>
      <w:r w:rsidR="004E2588" w:rsidRPr="004E2588">
        <w:rPr>
          <w:sz w:val="24"/>
          <w:szCs w:val="24"/>
        </w:rPr>
        <w:t>solve the confl</w:t>
      </w:r>
      <w:r w:rsidR="003525F9">
        <w:rPr>
          <w:sz w:val="24"/>
          <w:szCs w:val="24"/>
        </w:rPr>
        <w:t xml:space="preserve">ict of interest problem if the contractor had </w:t>
      </w:r>
      <w:r w:rsidR="004E2588" w:rsidRPr="004E2588">
        <w:rPr>
          <w:sz w:val="24"/>
          <w:szCs w:val="24"/>
        </w:rPr>
        <w:t>a separate, prior precon</w:t>
      </w:r>
      <w:r w:rsidR="003525F9">
        <w:rPr>
          <w:sz w:val="24"/>
          <w:szCs w:val="24"/>
        </w:rPr>
        <w:t xml:space="preserve">struction services contract.  </w:t>
      </w:r>
      <w:r w:rsidR="004E2588" w:rsidRPr="004E2588">
        <w:rPr>
          <w:sz w:val="24"/>
          <w:szCs w:val="24"/>
        </w:rPr>
        <w:t>The new law provides a suggested way around this – by awarding the precon</w:t>
      </w:r>
      <w:r w:rsidR="003525F9">
        <w:rPr>
          <w:sz w:val="24"/>
          <w:szCs w:val="24"/>
        </w:rPr>
        <w:t>struction</w:t>
      </w:r>
      <w:r w:rsidR="004E2588" w:rsidRPr="004E2588">
        <w:rPr>
          <w:sz w:val="24"/>
          <w:szCs w:val="24"/>
        </w:rPr>
        <w:t xml:space="preserve"> services as part of the LLB contract.  </w:t>
      </w:r>
    </w:p>
    <w:p w14:paraId="05AD92EB" w14:textId="77777777" w:rsidR="003F7ED9" w:rsidRPr="0030422F" w:rsidRDefault="003F7ED9" w:rsidP="003F7ED9">
      <w:pPr>
        <w:rPr>
          <w:sz w:val="24"/>
          <w:szCs w:val="24"/>
        </w:rPr>
      </w:pPr>
    </w:p>
    <w:p w14:paraId="05AD92EC" w14:textId="77777777" w:rsidR="002115DE" w:rsidRPr="002115DE" w:rsidRDefault="002115DE" w:rsidP="002115DE">
      <w:pPr>
        <w:pStyle w:val="BodyText"/>
        <w:rPr>
          <w:b/>
          <w:sz w:val="24"/>
          <w:szCs w:val="24"/>
          <w:u w:val="single"/>
        </w:rPr>
      </w:pPr>
      <w:r w:rsidRPr="002115DE">
        <w:rPr>
          <w:b/>
          <w:sz w:val="24"/>
          <w:szCs w:val="24"/>
          <w:u w:val="single"/>
        </w:rPr>
        <w:t xml:space="preserve">Contractor Licensing </w:t>
      </w:r>
    </w:p>
    <w:p w14:paraId="05AD92ED" w14:textId="77777777" w:rsidR="002115DE" w:rsidRPr="00726917" w:rsidRDefault="002115DE" w:rsidP="00726917">
      <w:pPr>
        <w:pStyle w:val="BodyText"/>
        <w:numPr>
          <w:ilvl w:val="0"/>
          <w:numId w:val="13"/>
        </w:numPr>
        <w:spacing w:after="0"/>
        <w:rPr>
          <w:i/>
          <w:sz w:val="24"/>
          <w:szCs w:val="24"/>
          <w:u w:val="single"/>
        </w:rPr>
      </w:pPr>
      <w:r w:rsidRPr="00726917">
        <w:rPr>
          <w:i/>
          <w:sz w:val="24"/>
          <w:szCs w:val="24"/>
          <w:u w:val="single"/>
        </w:rPr>
        <w:t>Phoenix Mechanical Pipeline, Inc. v. Space</w:t>
      </w:r>
      <w:r w:rsidR="00726917" w:rsidRPr="00726917">
        <w:rPr>
          <w:i/>
          <w:sz w:val="24"/>
          <w:szCs w:val="24"/>
          <w:u w:val="single"/>
        </w:rPr>
        <w:t xml:space="preserve"> Exploration Technologies Corp.:</w:t>
      </w:r>
    </w:p>
    <w:p w14:paraId="05AD92EE" w14:textId="77777777" w:rsidR="002115DE" w:rsidRPr="002115DE" w:rsidRDefault="002115DE" w:rsidP="00726917">
      <w:pPr>
        <w:pStyle w:val="BodyText"/>
        <w:numPr>
          <w:ilvl w:val="1"/>
          <w:numId w:val="7"/>
        </w:numPr>
        <w:spacing w:after="0"/>
        <w:rPr>
          <w:sz w:val="24"/>
          <w:szCs w:val="24"/>
        </w:rPr>
      </w:pPr>
      <w:r w:rsidRPr="002115DE">
        <w:rPr>
          <w:sz w:val="24"/>
          <w:szCs w:val="24"/>
        </w:rPr>
        <w:t>Contractor was not properly licensed during performance of construction work.  The contract arguably c</w:t>
      </w:r>
      <w:r w:rsidR="001864E1">
        <w:rPr>
          <w:sz w:val="24"/>
          <w:szCs w:val="24"/>
        </w:rPr>
        <w:t>alled for both construction</w:t>
      </w:r>
      <w:r w:rsidRPr="002115DE">
        <w:rPr>
          <w:sz w:val="24"/>
          <w:szCs w:val="24"/>
        </w:rPr>
        <w:t xml:space="preserve"> and non-construction work.  </w:t>
      </w:r>
    </w:p>
    <w:p w14:paraId="05AD92EF" w14:textId="77777777" w:rsidR="002115DE" w:rsidRPr="002115DE" w:rsidRDefault="002115DE" w:rsidP="00726917">
      <w:pPr>
        <w:pStyle w:val="BodyText"/>
        <w:numPr>
          <w:ilvl w:val="1"/>
          <w:numId w:val="7"/>
        </w:numPr>
        <w:spacing w:after="0"/>
        <w:rPr>
          <w:sz w:val="24"/>
          <w:szCs w:val="24"/>
        </w:rPr>
      </w:pPr>
      <w:r w:rsidRPr="002115DE">
        <w:rPr>
          <w:sz w:val="24"/>
          <w:szCs w:val="24"/>
        </w:rPr>
        <w:t>Court determined that, at least in the pleading stage, the contractor could attempt to recover for the work for which a license was not required</w:t>
      </w:r>
      <w:r w:rsidR="001864E1">
        <w:rPr>
          <w:sz w:val="24"/>
          <w:szCs w:val="24"/>
        </w:rPr>
        <w:t xml:space="preserve"> (i.e. the non-construction work)</w:t>
      </w:r>
      <w:r w:rsidRPr="002115DE">
        <w:rPr>
          <w:sz w:val="24"/>
          <w:szCs w:val="24"/>
        </w:rPr>
        <w:t xml:space="preserve">.  </w:t>
      </w:r>
    </w:p>
    <w:p w14:paraId="05AD92F0" w14:textId="77777777" w:rsidR="002115DE" w:rsidRPr="002115DE" w:rsidRDefault="002115DE" w:rsidP="00726917">
      <w:pPr>
        <w:pStyle w:val="BodyText"/>
        <w:numPr>
          <w:ilvl w:val="1"/>
          <w:numId w:val="7"/>
        </w:numPr>
        <w:spacing w:after="0"/>
        <w:rPr>
          <w:sz w:val="24"/>
          <w:szCs w:val="24"/>
        </w:rPr>
      </w:pPr>
      <w:r w:rsidRPr="002115DE">
        <w:rPr>
          <w:sz w:val="24"/>
          <w:szCs w:val="24"/>
        </w:rPr>
        <w:t>This ruling is in conflict with other California cases</w:t>
      </w:r>
      <w:r w:rsidR="00726917">
        <w:rPr>
          <w:sz w:val="24"/>
          <w:szCs w:val="24"/>
        </w:rPr>
        <w:t>, which hold that a contractor cannot recover any compensation for work on a contract for which a license is required for any portion of the work</w:t>
      </w:r>
      <w:r w:rsidRPr="002115DE">
        <w:rPr>
          <w:sz w:val="24"/>
          <w:szCs w:val="24"/>
        </w:rPr>
        <w:t xml:space="preserve">.  </w:t>
      </w:r>
    </w:p>
    <w:p w14:paraId="05AD92F1" w14:textId="77777777" w:rsidR="002115DE" w:rsidRPr="002115DE" w:rsidRDefault="002115DE" w:rsidP="002115DE">
      <w:pPr>
        <w:pStyle w:val="BodyText"/>
        <w:rPr>
          <w:sz w:val="24"/>
          <w:szCs w:val="24"/>
        </w:rPr>
      </w:pPr>
    </w:p>
    <w:p w14:paraId="05AD92F2" w14:textId="77777777" w:rsidR="006814E2" w:rsidRPr="0030422F" w:rsidRDefault="006814E2" w:rsidP="00ED1988">
      <w:pPr>
        <w:pStyle w:val="BodyText"/>
        <w:rPr>
          <w:sz w:val="24"/>
          <w:szCs w:val="24"/>
        </w:rPr>
      </w:pPr>
    </w:p>
    <w:p w14:paraId="05AD92F3" w14:textId="77777777" w:rsidR="006814E2" w:rsidRPr="0030422F" w:rsidRDefault="006814E2" w:rsidP="00ED1988">
      <w:pPr>
        <w:pStyle w:val="BodyText"/>
        <w:rPr>
          <w:sz w:val="24"/>
          <w:szCs w:val="24"/>
        </w:rPr>
      </w:pPr>
    </w:p>
    <w:p w14:paraId="05AD92F4" w14:textId="77777777" w:rsidR="006814E2" w:rsidRPr="0030422F" w:rsidRDefault="006814E2" w:rsidP="00ED1988">
      <w:pPr>
        <w:pStyle w:val="BodyText"/>
        <w:rPr>
          <w:sz w:val="24"/>
          <w:szCs w:val="24"/>
        </w:rPr>
      </w:pPr>
    </w:p>
    <w:sectPr w:rsidR="006814E2" w:rsidRPr="0030422F" w:rsidSect="00DF450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54E2" w14:textId="77777777" w:rsidR="00003019" w:rsidRDefault="00003019">
      <w:r>
        <w:separator/>
      </w:r>
    </w:p>
  </w:endnote>
  <w:endnote w:type="continuationSeparator" w:id="0">
    <w:p w14:paraId="1CF874EE" w14:textId="77777777" w:rsidR="00003019" w:rsidRDefault="0000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302" w14:textId="77777777" w:rsidR="001864E1" w:rsidRDefault="0018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303" w14:textId="77777777" w:rsidR="00E41175" w:rsidRPr="00E41175" w:rsidRDefault="001864E1" w:rsidP="00E41175">
    <w:pPr>
      <w:pStyle w:val="Footer"/>
    </w:pPr>
    <w:r w:rsidRPr="001864E1">
      <w:rPr>
        <w:noProof/>
        <w:vanish/>
      </w:rPr>
      <w:t>{</w:t>
    </w:r>
    <w:r w:rsidRPr="001864E1">
      <w:rPr>
        <w:noProof/>
      </w:rPr>
      <w:t>00090864.1</w:t>
    </w:r>
    <w:r w:rsidRPr="001864E1">
      <w:rPr>
        <w:noProof/>
        <w:vanish/>
      </w:rPr>
      <w:t>}</w:t>
    </w:r>
    <w:r w:rsidR="00E411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30D" w14:textId="77777777" w:rsidR="00F707DD" w:rsidRPr="00E41175" w:rsidRDefault="001864E1" w:rsidP="00E41175">
    <w:pPr>
      <w:pStyle w:val="Footer"/>
      <w:tabs>
        <w:tab w:val="clear" w:pos="4320"/>
        <w:tab w:val="clear" w:pos="8640"/>
      </w:tabs>
    </w:pPr>
    <w:r w:rsidRPr="001864E1">
      <w:rPr>
        <w:noProof/>
        <w:vanish/>
      </w:rPr>
      <w:t>{</w:t>
    </w:r>
    <w:r w:rsidRPr="001864E1">
      <w:rPr>
        <w:noProof/>
      </w:rPr>
      <w:t>00090864.1</w:t>
    </w:r>
    <w:r w:rsidRPr="001864E1">
      <w:rPr>
        <w:noProof/>
        <w:vanish/>
      </w:rPr>
      <w:t>}</w:t>
    </w:r>
    <w:r w:rsidR="00E41175">
      <w:tab/>
    </w:r>
    <w:r w:rsidR="00003019">
      <w:rPr>
        <w:noProof/>
      </w:rPr>
      <w:pict w14:anchorId="05AD930F">
        <v:group id="Group 3" o:spid="_x0000_s2072" style="position:absolute;margin-left:-1.5pt;margin-top:717.85pt;width:506.15pt;height:15.35pt;z-index:2;mso-position-horizontal-relative:margin;mso-position-vertical-relative:page" coordsize="64281,1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73" type="#_x0000_t75" style="position:absolute;top:762;width:64281;height:1187;visibility:visible">
            <v:imagedata r:id="rId1" o:title=""/>
            <v:path arrowok="t"/>
          </v:shape>
          <v:line id="Straight Connector 2" o:spid="_x0000_s2074" style="position:absolute;visibility:visible" from="190,0" to="64198,0" o:connectortype="straight" strokeweight="1pt">
            <v:stroke joinstyle="miter"/>
          </v:line>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8340" w14:textId="77777777" w:rsidR="00003019" w:rsidRDefault="00003019">
      <w:pPr>
        <w:rPr>
          <w:noProof/>
        </w:rPr>
      </w:pPr>
      <w:r>
        <w:rPr>
          <w:noProof/>
        </w:rPr>
        <w:separator/>
      </w:r>
    </w:p>
  </w:footnote>
  <w:footnote w:type="continuationSeparator" w:id="0">
    <w:p w14:paraId="32FE492B" w14:textId="77777777" w:rsidR="00003019" w:rsidRDefault="0000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2FB" w14:textId="77777777" w:rsidR="001864E1" w:rsidRDefault="0018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2FC" w14:textId="77777777" w:rsidR="00F707DD" w:rsidRDefault="0099481A">
    <w:pPr>
      <w:pStyle w:val="Header"/>
      <w:tabs>
        <w:tab w:val="clear" w:pos="8640"/>
        <w:tab w:val="right" w:pos="9360"/>
      </w:tabs>
    </w:pPr>
    <w:r>
      <w:t xml:space="preserve">CMAA Nor-Cal </w:t>
    </w:r>
    <w:r w:rsidR="00D946AA">
      <w:t>Membership</w:t>
    </w:r>
  </w:p>
  <w:p w14:paraId="05AD92FD" w14:textId="77777777" w:rsidR="0099481A" w:rsidRPr="00B358E2" w:rsidRDefault="00DB6DE4">
    <w:pPr>
      <w:pStyle w:val="Header"/>
      <w:tabs>
        <w:tab w:val="clear" w:pos="8640"/>
        <w:tab w:val="right" w:pos="9360"/>
      </w:tabs>
      <w:rPr>
        <w:rStyle w:val="PageNumber"/>
      </w:rPr>
    </w:pPr>
    <w:r>
      <w:t>2017 Year in Review Update</w:t>
    </w:r>
  </w:p>
  <w:p w14:paraId="05AD92FE" w14:textId="68B629F0" w:rsidR="00F707DD" w:rsidRPr="00B358E2" w:rsidRDefault="00F707DD">
    <w:pPr>
      <w:pStyle w:val="Header"/>
      <w:tabs>
        <w:tab w:val="clear" w:pos="8640"/>
        <w:tab w:val="right" w:pos="9360"/>
      </w:tabs>
      <w:rPr>
        <w:rStyle w:val="PageNumber"/>
      </w:rPr>
    </w:pPr>
    <w:r w:rsidRPr="00B358E2">
      <w:rPr>
        <w:rStyle w:val="PageNumber"/>
      </w:rPr>
      <w:t xml:space="preserve">Page </w:t>
    </w:r>
    <w:r w:rsidRPr="00B358E2">
      <w:rPr>
        <w:rStyle w:val="PageNumber"/>
      </w:rPr>
      <w:fldChar w:fldCharType="begin"/>
    </w:r>
    <w:r w:rsidRPr="00B358E2">
      <w:rPr>
        <w:rStyle w:val="PageNumber"/>
      </w:rPr>
      <w:instrText xml:space="preserve"> PAGE </w:instrText>
    </w:r>
    <w:r w:rsidRPr="00B358E2">
      <w:rPr>
        <w:rStyle w:val="PageNumber"/>
      </w:rPr>
      <w:fldChar w:fldCharType="separate"/>
    </w:r>
    <w:r w:rsidR="0076425B">
      <w:rPr>
        <w:rStyle w:val="PageNumber"/>
        <w:noProof/>
      </w:rPr>
      <w:t>4</w:t>
    </w:r>
    <w:r w:rsidRPr="00B358E2">
      <w:rPr>
        <w:rStyle w:val="PageNumber"/>
      </w:rPr>
      <w:fldChar w:fldCharType="end"/>
    </w:r>
  </w:p>
  <w:p w14:paraId="05AD92FF" w14:textId="77777777" w:rsidR="00F707DD" w:rsidRPr="00B358E2" w:rsidRDefault="00F707DD">
    <w:pPr>
      <w:pStyle w:val="Header"/>
      <w:tabs>
        <w:tab w:val="clear" w:pos="8640"/>
        <w:tab w:val="right" w:pos="9360"/>
      </w:tabs>
    </w:pPr>
  </w:p>
  <w:p w14:paraId="05AD9300" w14:textId="77777777" w:rsidR="00F707DD" w:rsidRDefault="00F707DD">
    <w:pPr>
      <w:pStyle w:val="Header"/>
      <w:tabs>
        <w:tab w:val="clear" w:pos="8640"/>
        <w:tab w:val="right" w:pos="9360"/>
      </w:tabs>
    </w:pPr>
  </w:p>
  <w:p w14:paraId="05AD9301" w14:textId="77777777" w:rsidR="00F707DD" w:rsidRPr="00B358E2" w:rsidRDefault="00F707DD">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9304" w14:textId="77777777" w:rsidR="00F707DD" w:rsidRDefault="00003019" w:rsidP="00237F21">
    <w:pPr>
      <w:pStyle w:val="Header"/>
      <w:tabs>
        <w:tab w:val="clear" w:pos="4320"/>
        <w:tab w:val="clear" w:pos="8640"/>
      </w:tabs>
      <w:rPr>
        <w:szCs w:val="2"/>
      </w:rPr>
    </w:pPr>
    <w:r>
      <w:rPr>
        <w:noProof/>
      </w:rPr>
      <w:pict w14:anchorId="05AD930E">
        <v:group id="Group 5" o:spid="_x0000_s2069" style="position:absolute;margin-left:-1pt;margin-top:38.9pt;width:505pt;height:101pt;z-index:1;mso-position-horizontal-relative:margin;mso-position-vertical-relative:page" coordsize="64135,1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0" type="#_x0000_t75" style="position:absolute;width:23317;height:12160;visibility:visible">
            <v:imagedata r:id="rId1" o:title="" croptop="3124f" cropbottom="54346f" cropleft="5700f" cropright="40123f"/>
            <v:path arrowok="t"/>
          </v:shape>
          <v:line id="Straight Connector 4" o:spid="_x0000_s2071" style="position:absolute;visibility:visible" from="127,12827" to="64135,12827" o:connectortype="straight" strokeweight="1pt">
            <v:stroke joinstyle="miter"/>
          </v:line>
          <w10:wrap anchorx="margin" anchory="page"/>
        </v:group>
      </w:pict>
    </w:r>
  </w:p>
  <w:p w14:paraId="05AD9305" w14:textId="77777777" w:rsidR="00F707DD" w:rsidRDefault="00F707DD" w:rsidP="00237F21">
    <w:pPr>
      <w:pStyle w:val="Header"/>
      <w:tabs>
        <w:tab w:val="clear" w:pos="4320"/>
        <w:tab w:val="clear" w:pos="8640"/>
      </w:tabs>
      <w:rPr>
        <w:szCs w:val="2"/>
      </w:rPr>
    </w:pPr>
  </w:p>
  <w:p w14:paraId="05AD9306" w14:textId="77777777" w:rsidR="00F707DD" w:rsidRDefault="00F707DD" w:rsidP="00237F21">
    <w:pPr>
      <w:pStyle w:val="Header"/>
      <w:tabs>
        <w:tab w:val="clear" w:pos="4320"/>
        <w:tab w:val="clear" w:pos="8640"/>
      </w:tabs>
      <w:rPr>
        <w:szCs w:val="2"/>
      </w:rPr>
    </w:pPr>
  </w:p>
  <w:p w14:paraId="05AD9307" w14:textId="77777777" w:rsidR="00F707DD" w:rsidRDefault="00F707DD" w:rsidP="00237F21">
    <w:pPr>
      <w:pStyle w:val="Header"/>
      <w:tabs>
        <w:tab w:val="clear" w:pos="4320"/>
        <w:tab w:val="clear" w:pos="8640"/>
      </w:tabs>
      <w:rPr>
        <w:szCs w:val="2"/>
      </w:rPr>
    </w:pPr>
  </w:p>
  <w:p w14:paraId="05AD9308" w14:textId="77777777" w:rsidR="00F707DD" w:rsidRDefault="00F707DD" w:rsidP="00237F21">
    <w:pPr>
      <w:pStyle w:val="Header"/>
      <w:tabs>
        <w:tab w:val="clear" w:pos="4320"/>
        <w:tab w:val="clear" w:pos="8640"/>
      </w:tabs>
      <w:rPr>
        <w:szCs w:val="2"/>
      </w:rPr>
    </w:pPr>
  </w:p>
  <w:p w14:paraId="05AD9309" w14:textId="77777777" w:rsidR="00F707DD" w:rsidRDefault="00F707DD" w:rsidP="00237F21">
    <w:pPr>
      <w:pStyle w:val="Header"/>
      <w:rPr>
        <w:szCs w:val="2"/>
      </w:rPr>
    </w:pPr>
  </w:p>
  <w:p w14:paraId="05AD930A" w14:textId="77777777" w:rsidR="00F707DD" w:rsidRDefault="00F707DD" w:rsidP="00237F21">
    <w:pPr>
      <w:pStyle w:val="Header"/>
      <w:rPr>
        <w:szCs w:val="2"/>
      </w:rPr>
    </w:pPr>
  </w:p>
  <w:p w14:paraId="05AD930B" w14:textId="77777777" w:rsidR="00F707DD" w:rsidRPr="0023423A" w:rsidRDefault="00F707DD" w:rsidP="00237F21">
    <w:pPr>
      <w:pStyle w:val="Header"/>
      <w:tabs>
        <w:tab w:val="clear" w:pos="4320"/>
        <w:tab w:val="clear" w:pos="8640"/>
      </w:tabs>
      <w:spacing w:line="160" w:lineRule="exact"/>
      <w:rPr>
        <w:szCs w:val="2"/>
      </w:rPr>
    </w:pPr>
  </w:p>
  <w:p w14:paraId="05AD930C" w14:textId="77777777" w:rsidR="00F707DD" w:rsidRDefault="00F707DD" w:rsidP="00237F21">
    <w:pPr>
      <w:pStyle w:val="Header"/>
      <w:tabs>
        <w:tab w:val="clear" w:pos="4320"/>
        <w:tab w:val="clear" w:pos="8640"/>
      </w:tabs>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4BE"/>
    <w:multiLevelType w:val="hybridMultilevel"/>
    <w:tmpl w:val="429CA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57AF"/>
    <w:multiLevelType w:val="hybridMultilevel"/>
    <w:tmpl w:val="E6C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1E6E"/>
    <w:multiLevelType w:val="hybridMultilevel"/>
    <w:tmpl w:val="E6C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E3134"/>
    <w:multiLevelType w:val="hybridMultilevel"/>
    <w:tmpl w:val="9C3C2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D4F2D"/>
    <w:multiLevelType w:val="hybridMultilevel"/>
    <w:tmpl w:val="A1689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B05"/>
    <w:multiLevelType w:val="hybridMultilevel"/>
    <w:tmpl w:val="E6C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05FA9"/>
    <w:multiLevelType w:val="hybridMultilevel"/>
    <w:tmpl w:val="46327EBA"/>
    <w:lvl w:ilvl="0" w:tplc="346209F6">
      <w:start w:val="1"/>
      <w:numFmt w:val="bullet"/>
      <w:lvlText w:val="•"/>
      <w:lvlJc w:val="left"/>
      <w:pPr>
        <w:tabs>
          <w:tab w:val="num" w:pos="720"/>
        </w:tabs>
        <w:ind w:left="720" w:hanging="360"/>
      </w:pPr>
      <w:rPr>
        <w:rFonts w:ascii="Arial" w:hAnsi="Arial" w:hint="default"/>
      </w:rPr>
    </w:lvl>
    <w:lvl w:ilvl="1" w:tplc="A4746340">
      <w:start w:val="1"/>
      <w:numFmt w:val="bullet"/>
      <w:lvlText w:val="•"/>
      <w:lvlJc w:val="left"/>
      <w:pPr>
        <w:tabs>
          <w:tab w:val="num" w:pos="1440"/>
        </w:tabs>
        <w:ind w:left="1440" w:hanging="360"/>
      </w:pPr>
      <w:rPr>
        <w:rFonts w:ascii="Arial" w:hAnsi="Arial" w:hint="default"/>
      </w:rPr>
    </w:lvl>
    <w:lvl w:ilvl="2" w:tplc="F1FC0B3C" w:tentative="1">
      <w:start w:val="1"/>
      <w:numFmt w:val="bullet"/>
      <w:lvlText w:val="•"/>
      <w:lvlJc w:val="left"/>
      <w:pPr>
        <w:tabs>
          <w:tab w:val="num" w:pos="2160"/>
        </w:tabs>
        <w:ind w:left="2160" w:hanging="360"/>
      </w:pPr>
      <w:rPr>
        <w:rFonts w:ascii="Arial" w:hAnsi="Arial" w:hint="default"/>
      </w:rPr>
    </w:lvl>
    <w:lvl w:ilvl="3" w:tplc="39ECA5F4" w:tentative="1">
      <w:start w:val="1"/>
      <w:numFmt w:val="bullet"/>
      <w:lvlText w:val="•"/>
      <w:lvlJc w:val="left"/>
      <w:pPr>
        <w:tabs>
          <w:tab w:val="num" w:pos="2880"/>
        </w:tabs>
        <w:ind w:left="2880" w:hanging="360"/>
      </w:pPr>
      <w:rPr>
        <w:rFonts w:ascii="Arial" w:hAnsi="Arial" w:hint="default"/>
      </w:rPr>
    </w:lvl>
    <w:lvl w:ilvl="4" w:tplc="1F2E72BC" w:tentative="1">
      <w:start w:val="1"/>
      <w:numFmt w:val="bullet"/>
      <w:lvlText w:val="•"/>
      <w:lvlJc w:val="left"/>
      <w:pPr>
        <w:tabs>
          <w:tab w:val="num" w:pos="3600"/>
        </w:tabs>
        <w:ind w:left="3600" w:hanging="360"/>
      </w:pPr>
      <w:rPr>
        <w:rFonts w:ascii="Arial" w:hAnsi="Arial" w:hint="default"/>
      </w:rPr>
    </w:lvl>
    <w:lvl w:ilvl="5" w:tplc="298C238A" w:tentative="1">
      <w:start w:val="1"/>
      <w:numFmt w:val="bullet"/>
      <w:lvlText w:val="•"/>
      <w:lvlJc w:val="left"/>
      <w:pPr>
        <w:tabs>
          <w:tab w:val="num" w:pos="4320"/>
        </w:tabs>
        <w:ind w:left="4320" w:hanging="360"/>
      </w:pPr>
      <w:rPr>
        <w:rFonts w:ascii="Arial" w:hAnsi="Arial" w:hint="default"/>
      </w:rPr>
    </w:lvl>
    <w:lvl w:ilvl="6" w:tplc="AF94439A" w:tentative="1">
      <w:start w:val="1"/>
      <w:numFmt w:val="bullet"/>
      <w:lvlText w:val="•"/>
      <w:lvlJc w:val="left"/>
      <w:pPr>
        <w:tabs>
          <w:tab w:val="num" w:pos="5040"/>
        </w:tabs>
        <w:ind w:left="5040" w:hanging="360"/>
      </w:pPr>
      <w:rPr>
        <w:rFonts w:ascii="Arial" w:hAnsi="Arial" w:hint="default"/>
      </w:rPr>
    </w:lvl>
    <w:lvl w:ilvl="7" w:tplc="F8DEF56C" w:tentative="1">
      <w:start w:val="1"/>
      <w:numFmt w:val="bullet"/>
      <w:lvlText w:val="•"/>
      <w:lvlJc w:val="left"/>
      <w:pPr>
        <w:tabs>
          <w:tab w:val="num" w:pos="5760"/>
        </w:tabs>
        <w:ind w:left="5760" w:hanging="360"/>
      </w:pPr>
      <w:rPr>
        <w:rFonts w:ascii="Arial" w:hAnsi="Arial" w:hint="default"/>
      </w:rPr>
    </w:lvl>
    <w:lvl w:ilvl="8" w:tplc="B180E9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2806EC"/>
    <w:multiLevelType w:val="hybridMultilevel"/>
    <w:tmpl w:val="E6C0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D1A9E"/>
    <w:multiLevelType w:val="hybridMultilevel"/>
    <w:tmpl w:val="B35C5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26C54"/>
    <w:multiLevelType w:val="hybridMultilevel"/>
    <w:tmpl w:val="E1F2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B7346"/>
    <w:multiLevelType w:val="hybridMultilevel"/>
    <w:tmpl w:val="7DB61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4345A"/>
    <w:multiLevelType w:val="hybridMultilevel"/>
    <w:tmpl w:val="2BE8E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61A4E"/>
    <w:multiLevelType w:val="hybridMultilevel"/>
    <w:tmpl w:val="D56AF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F2265"/>
    <w:multiLevelType w:val="singleLevel"/>
    <w:tmpl w:val="54EE9824"/>
    <w:lvl w:ilvl="0">
      <w:start w:val="1"/>
      <w:numFmt w:val="decimal"/>
      <w:lvlText w:val="%1."/>
      <w:lvlJc w:val="left"/>
      <w:pPr>
        <w:tabs>
          <w:tab w:val="num" w:pos="1440"/>
        </w:tabs>
        <w:ind w:left="1440" w:hanging="720"/>
      </w:pPr>
      <w:rPr>
        <w:rFonts w:hint="default"/>
      </w:rPr>
    </w:lvl>
  </w:abstractNum>
  <w:num w:numId="1">
    <w:abstractNumId w:val="13"/>
  </w:num>
  <w:num w:numId="2">
    <w:abstractNumId w:val="4"/>
  </w:num>
  <w:num w:numId="3">
    <w:abstractNumId w:val="0"/>
  </w:num>
  <w:num w:numId="4">
    <w:abstractNumId w:val="12"/>
  </w:num>
  <w:num w:numId="5">
    <w:abstractNumId w:val="6"/>
  </w:num>
  <w:num w:numId="6">
    <w:abstractNumId w:val="3"/>
  </w:num>
  <w:num w:numId="7">
    <w:abstractNumId w:val="9"/>
  </w:num>
  <w:num w:numId="8">
    <w:abstractNumId w:val="10"/>
  </w:num>
  <w:num w:numId="9">
    <w:abstractNumId w:val="11"/>
  </w:num>
  <w:num w:numId="10">
    <w:abstractNumId w:val="8"/>
  </w:num>
  <w:num w:numId="11">
    <w:abstractNumId w:val="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Straight Connector 4"/>
        <o:r id="V:Rule2" type="connector" idref="#Straight Connector 2"/>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6B7"/>
    <w:rsid w:val="00003019"/>
    <w:rsid w:val="0001242B"/>
    <w:rsid w:val="00022584"/>
    <w:rsid w:val="000261C3"/>
    <w:rsid w:val="00033987"/>
    <w:rsid w:val="00034FB4"/>
    <w:rsid w:val="000447AA"/>
    <w:rsid w:val="00054F6C"/>
    <w:rsid w:val="00060DC4"/>
    <w:rsid w:val="000640B9"/>
    <w:rsid w:val="0008359F"/>
    <w:rsid w:val="00083974"/>
    <w:rsid w:val="000A4052"/>
    <w:rsid w:val="000A64FA"/>
    <w:rsid w:val="000B5B76"/>
    <w:rsid w:val="000C5FD7"/>
    <w:rsid w:val="000D5191"/>
    <w:rsid w:val="000D65DA"/>
    <w:rsid w:val="000E2E05"/>
    <w:rsid w:val="000F5529"/>
    <w:rsid w:val="001078D9"/>
    <w:rsid w:val="001138E2"/>
    <w:rsid w:val="00145623"/>
    <w:rsid w:val="001457C6"/>
    <w:rsid w:val="0014773E"/>
    <w:rsid w:val="00151577"/>
    <w:rsid w:val="001864E1"/>
    <w:rsid w:val="00193E5D"/>
    <w:rsid w:val="00193F47"/>
    <w:rsid w:val="00195FE6"/>
    <w:rsid w:val="001A2930"/>
    <w:rsid w:val="001B1424"/>
    <w:rsid w:val="001B63D9"/>
    <w:rsid w:val="001C4CE6"/>
    <w:rsid w:val="001E32B8"/>
    <w:rsid w:val="001F0DE6"/>
    <w:rsid w:val="001F4CEA"/>
    <w:rsid w:val="002115DE"/>
    <w:rsid w:val="002243C9"/>
    <w:rsid w:val="0023423A"/>
    <w:rsid w:val="00236CE2"/>
    <w:rsid w:val="00237F21"/>
    <w:rsid w:val="00246C47"/>
    <w:rsid w:val="00263ADE"/>
    <w:rsid w:val="00264150"/>
    <w:rsid w:val="00265429"/>
    <w:rsid w:val="00274086"/>
    <w:rsid w:val="00276E9D"/>
    <w:rsid w:val="00280422"/>
    <w:rsid w:val="00290CE1"/>
    <w:rsid w:val="002960ED"/>
    <w:rsid w:val="002964C9"/>
    <w:rsid w:val="002B010F"/>
    <w:rsid w:val="002B143B"/>
    <w:rsid w:val="002D1236"/>
    <w:rsid w:val="002D320D"/>
    <w:rsid w:val="002D4B02"/>
    <w:rsid w:val="00302619"/>
    <w:rsid w:val="00302795"/>
    <w:rsid w:val="0030422F"/>
    <w:rsid w:val="00304EC1"/>
    <w:rsid w:val="003130B7"/>
    <w:rsid w:val="003346FC"/>
    <w:rsid w:val="003372D4"/>
    <w:rsid w:val="003423FD"/>
    <w:rsid w:val="003525F9"/>
    <w:rsid w:val="0037427E"/>
    <w:rsid w:val="00380824"/>
    <w:rsid w:val="00390E1E"/>
    <w:rsid w:val="00391FAE"/>
    <w:rsid w:val="003A20C3"/>
    <w:rsid w:val="003A5754"/>
    <w:rsid w:val="003B0B0C"/>
    <w:rsid w:val="003B0C77"/>
    <w:rsid w:val="003B2B54"/>
    <w:rsid w:val="003B717C"/>
    <w:rsid w:val="003C5A06"/>
    <w:rsid w:val="003D009E"/>
    <w:rsid w:val="003D1F0B"/>
    <w:rsid w:val="003D3DB8"/>
    <w:rsid w:val="003E1E5F"/>
    <w:rsid w:val="003F001F"/>
    <w:rsid w:val="003F7ED9"/>
    <w:rsid w:val="004119E1"/>
    <w:rsid w:val="00411F42"/>
    <w:rsid w:val="00413DB9"/>
    <w:rsid w:val="004169BF"/>
    <w:rsid w:val="00443886"/>
    <w:rsid w:val="00465163"/>
    <w:rsid w:val="00467E48"/>
    <w:rsid w:val="0047209D"/>
    <w:rsid w:val="004749EF"/>
    <w:rsid w:val="004771F1"/>
    <w:rsid w:val="004A27E7"/>
    <w:rsid w:val="004A4278"/>
    <w:rsid w:val="004B4C92"/>
    <w:rsid w:val="004C06F0"/>
    <w:rsid w:val="004E08AE"/>
    <w:rsid w:val="004E23EA"/>
    <w:rsid w:val="004E2588"/>
    <w:rsid w:val="004E7FF3"/>
    <w:rsid w:val="00501056"/>
    <w:rsid w:val="00503699"/>
    <w:rsid w:val="00504901"/>
    <w:rsid w:val="00514D1F"/>
    <w:rsid w:val="005153A7"/>
    <w:rsid w:val="00526F87"/>
    <w:rsid w:val="005571F0"/>
    <w:rsid w:val="0056039B"/>
    <w:rsid w:val="00562A16"/>
    <w:rsid w:val="00590906"/>
    <w:rsid w:val="005A2F5D"/>
    <w:rsid w:val="005A44AA"/>
    <w:rsid w:val="005B324F"/>
    <w:rsid w:val="005B6E9D"/>
    <w:rsid w:val="005C4346"/>
    <w:rsid w:val="005C4B1D"/>
    <w:rsid w:val="005C4FA1"/>
    <w:rsid w:val="005D235F"/>
    <w:rsid w:val="005D62E6"/>
    <w:rsid w:val="005F0936"/>
    <w:rsid w:val="005F2069"/>
    <w:rsid w:val="005F7326"/>
    <w:rsid w:val="00603C41"/>
    <w:rsid w:val="00610B47"/>
    <w:rsid w:val="00612B89"/>
    <w:rsid w:val="00620ECC"/>
    <w:rsid w:val="0063494F"/>
    <w:rsid w:val="006405FB"/>
    <w:rsid w:val="00644057"/>
    <w:rsid w:val="00661991"/>
    <w:rsid w:val="0067651E"/>
    <w:rsid w:val="006772AD"/>
    <w:rsid w:val="006814D5"/>
    <w:rsid w:val="006814E2"/>
    <w:rsid w:val="0068263D"/>
    <w:rsid w:val="00693D49"/>
    <w:rsid w:val="00695E65"/>
    <w:rsid w:val="00697BFA"/>
    <w:rsid w:val="006A01C3"/>
    <w:rsid w:val="006A2F4D"/>
    <w:rsid w:val="006A6259"/>
    <w:rsid w:val="006A7CE3"/>
    <w:rsid w:val="006B7B15"/>
    <w:rsid w:val="006D75CC"/>
    <w:rsid w:val="006E0BD8"/>
    <w:rsid w:val="006E3EAB"/>
    <w:rsid w:val="006F1A81"/>
    <w:rsid w:val="006F4BFA"/>
    <w:rsid w:val="006F7AAF"/>
    <w:rsid w:val="00707BA5"/>
    <w:rsid w:val="00710C38"/>
    <w:rsid w:val="007261BB"/>
    <w:rsid w:val="00726917"/>
    <w:rsid w:val="00733731"/>
    <w:rsid w:val="00734F3D"/>
    <w:rsid w:val="00751F16"/>
    <w:rsid w:val="00760A55"/>
    <w:rsid w:val="0076425B"/>
    <w:rsid w:val="00771726"/>
    <w:rsid w:val="0078093F"/>
    <w:rsid w:val="007809AE"/>
    <w:rsid w:val="00785659"/>
    <w:rsid w:val="007924FD"/>
    <w:rsid w:val="007B00B5"/>
    <w:rsid w:val="007B0797"/>
    <w:rsid w:val="007B66B7"/>
    <w:rsid w:val="007B6B6A"/>
    <w:rsid w:val="007C1B8B"/>
    <w:rsid w:val="007D6416"/>
    <w:rsid w:val="007E6DA3"/>
    <w:rsid w:val="007F28F7"/>
    <w:rsid w:val="007F6884"/>
    <w:rsid w:val="008176A5"/>
    <w:rsid w:val="008262D4"/>
    <w:rsid w:val="00831487"/>
    <w:rsid w:val="00833C31"/>
    <w:rsid w:val="00852B57"/>
    <w:rsid w:val="008629B1"/>
    <w:rsid w:val="008832F5"/>
    <w:rsid w:val="00884592"/>
    <w:rsid w:val="008845BB"/>
    <w:rsid w:val="008B564A"/>
    <w:rsid w:val="008B6419"/>
    <w:rsid w:val="008D55F1"/>
    <w:rsid w:val="008D701E"/>
    <w:rsid w:val="008F391A"/>
    <w:rsid w:val="008F675B"/>
    <w:rsid w:val="00914C28"/>
    <w:rsid w:val="00923E5A"/>
    <w:rsid w:val="0093185B"/>
    <w:rsid w:val="00950081"/>
    <w:rsid w:val="009534EB"/>
    <w:rsid w:val="009577EA"/>
    <w:rsid w:val="009602CC"/>
    <w:rsid w:val="009635C4"/>
    <w:rsid w:val="00967812"/>
    <w:rsid w:val="009700E5"/>
    <w:rsid w:val="00981045"/>
    <w:rsid w:val="00982C7D"/>
    <w:rsid w:val="00983050"/>
    <w:rsid w:val="009836CA"/>
    <w:rsid w:val="0099262E"/>
    <w:rsid w:val="009926B7"/>
    <w:rsid w:val="0099481A"/>
    <w:rsid w:val="009A0CCB"/>
    <w:rsid w:val="009B33C6"/>
    <w:rsid w:val="009C445F"/>
    <w:rsid w:val="009D1C9F"/>
    <w:rsid w:val="009D7197"/>
    <w:rsid w:val="009D739A"/>
    <w:rsid w:val="009E1C76"/>
    <w:rsid w:val="009F0A30"/>
    <w:rsid w:val="009F682C"/>
    <w:rsid w:val="009F742D"/>
    <w:rsid w:val="009F7B69"/>
    <w:rsid w:val="00A547BC"/>
    <w:rsid w:val="00A56B4F"/>
    <w:rsid w:val="00A61772"/>
    <w:rsid w:val="00A649AA"/>
    <w:rsid w:val="00A65367"/>
    <w:rsid w:val="00A85FC8"/>
    <w:rsid w:val="00A86E6C"/>
    <w:rsid w:val="00A95EE6"/>
    <w:rsid w:val="00AB3D3F"/>
    <w:rsid w:val="00AC5181"/>
    <w:rsid w:val="00AC6827"/>
    <w:rsid w:val="00AD4E78"/>
    <w:rsid w:val="00AD65B5"/>
    <w:rsid w:val="00AE0EC1"/>
    <w:rsid w:val="00AF2883"/>
    <w:rsid w:val="00AF29D3"/>
    <w:rsid w:val="00B12D68"/>
    <w:rsid w:val="00B137AD"/>
    <w:rsid w:val="00B269E8"/>
    <w:rsid w:val="00B26E78"/>
    <w:rsid w:val="00B358E2"/>
    <w:rsid w:val="00B434C3"/>
    <w:rsid w:val="00B45B17"/>
    <w:rsid w:val="00B55769"/>
    <w:rsid w:val="00B6035E"/>
    <w:rsid w:val="00B717BC"/>
    <w:rsid w:val="00B876EA"/>
    <w:rsid w:val="00B90B49"/>
    <w:rsid w:val="00B91366"/>
    <w:rsid w:val="00B91D61"/>
    <w:rsid w:val="00B94B31"/>
    <w:rsid w:val="00B96985"/>
    <w:rsid w:val="00BA645C"/>
    <w:rsid w:val="00BC2BAB"/>
    <w:rsid w:val="00BC472A"/>
    <w:rsid w:val="00BD5A2D"/>
    <w:rsid w:val="00BF3F4C"/>
    <w:rsid w:val="00C135C1"/>
    <w:rsid w:val="00C15520"/>
    <w:rsid w:val="00C40D9E"/>
    <w:rsid w:val="00C507B1"/>
    <w:rsid w:val="00C515DB"/>
    <w:rsid w:val="00C51C9C"/>
    <w:rsid w:val="00C6562F"/>
    <w:rsid w:val="00C67C23"/>
    <w:rsid w:val="00C8502C"/>
    <w:rsid w:val="00C875A2"/>
    <w:rsid w:val="00CA1406"/>
    <w:rsid w:val="00CA589E"/>
    <w:rsid w:val="00CB61AE"/>
    <w:rsid w:val="00CC3056"/>
    <w:rsid w:val="00CC51AD"/>
    <w:rsid w:val="00CD51A8"/>
    <w:rsid w:val="00CE2540"/>
    <w:rsid w:val="00CF229F"/>
    <w:rsid w:val="00CF2989"/>
    <w:rsid w:val="00CF47A7"/>
    <w:rsid w:val="00D049D4"/>
    <w:rsid w:val="00D210C3"/>
    <w:rsid w:val="00D30280"/>
    <w:rsid w:val="00D355C4"/>
    <w:rsid w:val="00D40CAF"/>
    <w:rsid w:val="00D62F89"/>
    <w:rsid w:val="00D64479"/>
    <w:rsid w:val="00D6451F"/>
    <w:rsid w:val="00D72712"/>
    <w:rsid w:val="00D91F5B"/>
    <w:rsid w:val="00D946AA"/>
    <w:rsid w:val="00DB0EEC"/>
    <w:rsid w:val="00DB5D16"/>
    <w:rsid w:val="00DB6DE4"/>
    <w:rsid w:val="00DC4B5C"/>
    <w:rsid w:val="00DC643A"/>
    <w:rsid w:val="00DC6EA9"/>
    <w:rsid w:val="00DD0AB7"/>
    <w:rsid w:val="00DF278C"/>
    <w:rsid w:val="00DF2DA1"/>
    <w:rsid w:val="00DF41B6"/>
    <w:rsid w:val="00DF4500"/>
    <w:rsid w:val="00E02EFA"/>
    <w:rsid w:val="00E03C27"/>
    <w:rsid w:val="00E13689"/>
    <w:rsid w:val="00E31C57"/>
    <w:rsid w:val="00E41175"/>
    <w:rsid w:val="00E541B5"/>
    <w:rsid w:val="00E63D67"/>
    <w:rsid w:val="00E644C4"/>
    <w:rsid w:val="00E72BC3"/>
    <w:rsid w:val="00E74882"/>
    <w:rsid w:val="00E776E5"/>
    <w:rsid w:val="00E81282"/>
    <w:rsid w:val="00E82B72"/>
    <w:rsid w:val="00E87DEF"/>
    <w:rsid w:val="00E938A4"/>
    <w:rsid w:val="00E94513"/>
    <w:rsid w:val="00E97752"/>
    <w:rsid w:val="00E97B10"/>
    <w:rsid w:val="00EB102F"/>
    <w:rsid w:val="00EB4D9B"/>
    <w:rsid w:val="00ED1988"/>
    <w:rsid w:val="00ED39D3"/>
    <w:rsid w:val="00ED6D83"/>
    <w:rsid w:val="00EE1E86"/>
    <w:rsid w:val="00EF6EC7"/>
    <w:rsid w:val="00F03791"/>
    <w:rsid w:val="00F12AA5"/>
    <w:rsid w:val="00F167E7"/>
    <w:rsid w:val="00F44771"/>
    <w:rsid w:val="00F45F5B"/>
    <w:rsid w:val="00F507F7"/>
    <w:rsid w:val="00F53B76"/>
    <w:rsid w:val="00F55483"/>
    <w:rsid w:val="00F707DD"/>
    <w:rsid w:val="00F82403"/>
    <w:rsid w:val="00F85F4C"/>
    <w:rsid w:val="00F86876"/>
    <w:rsid w:val="00FB7124"/>
    <w:rsid w:val="00FC6D15"/>
    <w:rsid w:val="00FD23EA"/>
    <w:rsid w:val="00FF3335"/>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05AD929A"/>
  <w15:chartTrackingRefBased/>
  <w15:docId w15:val="{46047173-B080-430F-BFD0-BCB4E095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49EF"/>
    <w:rPr>
      <w:rFonts w:ascii="Calibri" w:hAnsi="Calibri"/>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B358E2"/>
    <w:pPr>
      <w:spacing w:after="240"/>
    </w:pPr>
  </w:style>
  <w:style w:type="paragraph" w:customStyle="1" w:styleId="LtrDate">
    <w:name w:val="LtrDate"/>
    <w:basedOn w:val="Normal"/>
    <w:next w:val="Normal"/>
    <w:rsid w:val="00F85F4C"/>
    <w:rPr>
      <w:noProof/>
    </w:rPr>
  </w:style>
  <w:style w:type="paragraph" w:customStyle="1" w:styleId="LtrVia">
    <w:name w:val="LtrVia"/>
    <w:basedOn w:val="Normal"/>
    <w:next w:val="Normal"/>
    <w:rPr>
      <w:b/>
      <w:szCs w:val="24"/>
      <w:u w:val="single"/>
    </w:rPr>
  </w:style>
  <w:style w:type="paragraph" w:customStyle="1" w:styleId="LtrAddress">
    <w:name w:val="LtrAddress"/>
    <w:basedOn w:val="Heading1"/>
  </w:style>
  <w:style w:type="paragraph" w:customStyle="1" w:styleId="LtrRe">
    <w:name w:val="LtrRe"/>
    <w:basedOn w:val="Normal"/>
    <w:next w:val="Normal"/>
    <w:pPr>
      <w:ind w:left="1224" w:hanging="504"/>
    </w:pPr>
    <w:rPr>
      <w:sz w:val="24"/>
    </w:rPr>
  </w:style>
  <w:style w:type="paragraph" w:customStyle="1" w:styleId="LtrSalutation">
    <w:name w:val="LtrSalutation"/>
    <w:basedOn w:val="Normal"/>
    <w:pPr>
      <w:spacing w:after="240"/>
    </w:pPr>
    <w:rPr>
      <w:sz w:val="24"/>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sz w:val="24"/>
    </w:rPr>
  </w:style>
  <w:style w:type="paragraph" w:customStyle="1" w:styleId="BodyTextLeftMargin">
    <w:name w:val="Body Text LeftMargin"/>
    <w:basedOn w:val="BodyText"/>
    <w:next w:val="BodyText"/>
  </w:style>
  <w:style w:type="paragraph" w:customStyle="1" w:styleId="LtrAddressee">
    <w:name w:val="LtrAddressee"/>
    <w:basedOn w:val="Normal"/>
    <w:pPr>
      <w:widowControl w:val="0"/>
    </w:pPr>
  </w:style>
  <w:style w:type="paragraph" w:customStyle="1" w:styleId="ConfidentialPhrase">
    <w:name w:val="ConfidentialPhrase"/>
    <w:basedOn w:val="Normal"/>
    <w:next w:val="Normal"/>
    <w:rsid w:val="009D7197"/>
    <w:rPr>
      <w:b/>
      <w:caps/>
      <w:szCs w:val="24"/>
    </w:rPr>
  </w:style>
  <w:style w:type="paragraph" w:customStyle="1" w:styleId="BodyTextQuote">
    <w:name w:val="Body Text Quote"/>
    <w:basedOn w:val="Normal"/>
    <w:next w:val="BodyTextLeftMargin"/>
    <w:pPr>
      <w:spacing w:after="240"/>
      <w:ind w:left="720" w:right="720"/>
    </w:pPr>
  </w:style>
  <w:style w:type="character" w:styleId="FootnoteReference">
    <w:name w:val="footnote reference"/>
    <w:semiHidden/>
    <w:rPr>
      <w:vertAlign w:val="superscript"/>
    </w:rPr>
  </w:style>
  <w:style w:type="paragraph" w:styleId="FootnoteText">
    <w:name w:val="footnote text"/>
    <w:basedOn w:val="Normal"/>
    <w:semiHidden/>
    <w:pPr>
      <w:spacing w:after="120"/>
    </w:pPr>
  </w:style>
  <w:style w:type="table" w:styleId="TableGrid">
    <w:name w:val="Table Grid"/>
    <w:basedOn w:val="TableNormal"/>
    <w:rsid w:val="00C51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basedOn w:val="Normal"/>
    <w:rsid w:val="00F707DD"/>
  </w:style>
  <w:style w:type="paragraph" w:customStyle="1" w:styleId="MemoDate">
    <w:name w:val="MemoDate"/>
    <w:basedOn w:val="Normal"/>
    <w:rsid w:val="00F707DD"/>
    <w:rPr>
      <w:b/>
    </w:rPr>
  </w:style>
  <w:style w:type="paragraph" w:styleId="ListParagraph">
    <w:name w:val="List Paragraph"/>
    <w:basedOn w:val="Normal"/>
    <w:uiPriority w:val="34"/>
    <w:qFormat/>
    <w:rsid w:val="007B66B7"/>
    <w:pPr>
      <w:spacing w:after="160" w:line="259" w:lineRule="auto"/>
      <w:ind w:left="720"/>
      <w:contextualSpacing/>
    </w:pPr>
    <w:rPr>
      <w:rFonts w:eastAsia="Calibri"/>
      <w:szCs w:val="22"/>
    </w:rPr>
  </w:style>
  <w:style w:type="character" w:customStyle="1" w:styleId="BodyTextChar">
    <w:name w:val="Body Text Char"/>
    <w:link w:val="BodyText"/>
    <w:rsid w:val="007F6884"/>
    <w:rPr>
      <w:rFonts w:ascii="Calibri" w:hAnsi="Calibri"/>
      <w:sz w:val="22"/>
    </w:rPr>
  </w:style>
  <w:style w:type="paragraph" w:styleId="BalloonText">
    <w:name w:val="Balloon Text"/>
    <w:basedOn w:val="Normal"/>
    <w:link w:val="BalloonTextChar"/>
    <w:rsid w:val="00726917"/>
    <w:rPr>
      <w:rFonts w:ascii="Segoe UI" w:hAnsi="Segoe UI" w:cs="Segoe UI"/>
      <w:sz w:val="18"/>
      <w:szCs w:val="18"/>
    </w:rPr>
  </w:style>
  <w:style w:type="character" w:customStyle="1" w:styleId="BalloonTextChar">
    <w:name w:val="Balloon Text Char"/>
    <w:link w:val="BalloonText"/>
    <w:rsid w:val="00726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4195">
      <w:bodyDiv w:val="1"/>
      <w:marLeft w:val="0"/>
      <w:marRight w:val="0"/>
      <w:marTop w:val="0"/>
      <w:marBottom w:val="0"/>
      <w:divBdr>
        <w:top w:val="none" w:sz="0" w:space="0" w:color="auto"/>
        <w:left w:val="none" w:sz="0" w:space="0" w:color="auto"/>
        <w:bottom w:val="none" w:sz="0" w:space="0" w:color="auto"/>
        <w:right w:val="none" w:sz="0" w:space="0" w:color="auto"/>
      </w:divBdr>
      <w:divsChild>
        <w:div w:id="1001085293">
          <w:marLeft w:val="1166"/>
          <w:marRight w:val="0"/>
          <w:marTop w:val="96"/>
          <w:marBottom w:val="0"/>
          <w:divBdr>
            <w:top w:val="none" w:sz="0" w:space="0" w:color="auto"/>
            <w:left w:val="none" w:sz="0" w:space="0" w:color="auto"/>
            <w:bottom w:val="none" w:sz="0" w:space="0" w:color="auto"/>
            <w:right w:val="none" w:sz="0" w:space="0" w:color="auto"/>
          </w:divBdr>
        </w:div>
        <w:div w:id="444661839">
          <w:marLeft w:val="1166"/>
          <w:marRight w:val="0"/>
          <w:marTop w:val="96"/>
          <w:marBottom w:val="0"/>
          <w:divBdr>
            <w:top w:val="none" w:sz="0" w:space="0" w:color="auto"/>
            <w:left w:val="none" w:sz="0" w:space="0" w:color="auto"/>
            <w:bottom w:val="none" w:sz="0" w:space="0" w:color="auto"/>
            <w:right w:val="none" w:sz="0" w:space="0" w:color="auto"/>
          </w:divBdr>
        </w:div>
        <w:div w:id="1605920231">
          <w:marLeft w:val="1166"/>
          <w:marRight w:val="0"/>
          <w:marTop w:val="96"/>
          <w:marBottom w:val="0"/>
          <w:divBdr>
            <w:top w:val="none" w:sz="0" w:space="0" w:color="auto"/>
            <w:left w:val="none" w:sz="0" w:space="0" w:color="auto"/>
            <w:bottom w:val="none" w:sz="0" w:space="0" w:color="auto"/>
            <w:right w:val="none" w:sz="0" w:space="0" w:color="auto"/>
          </w:divBdr>
        </w:div>
        <w:div w:id="1690569380">
          <w:marLeft w:val="1166"/>
          <w:marRight w:val="0"/>
          <w:marTop w:val="96"/>
          <w:marBottom w:val="0"/>
          <w:divBdr>
            <w:top w:val="none" w:sz="0" w:space="0" w:color="auto"/>
            <w:left w:val="none" w:sz="0" w:space="0" w:color="auto"/>
            <w:bottom w:val="none" w:sz="0" w:space="0" w:color="auto"/>
            <w:right w:val="none" w:sz="0" w:space="0" w:color="auto"/>
          </w:divBdr>
        </w:div>
        <w:div w:id="1122532999">
          <w:marLeft w:val="1166"/>
          <w:marRight w:val="0"/>
          <w:marTop w:val="96"/>
          <w:marBottom w:val="0"/>
          <w:divBdr>
            <w:top w:val="none" w:sz="0" w:space="0" w:color="auto"/>
            <w:left w:val="none" w:sz="0" w:space="0" w:color="auto"/>
            <w:bottom w:val="none" w:sz="0" w:space="0" w:color="auto"/>
            <w:right w:val="none" w:sz="0" w:space="0" w:color="auto"/>
          </w:divBdr>
        </w:div>
        <w:div w:id="1442257450">
          <w:marLeft w:val="1166"/>
          <w:marRight w:val="0"/>
          <w:marTop w:val="96"/>
          <w:marBottom w:val="0"/>
          <w:divBdr>
            <w:top w:val="none" w:sz="0" w:space="0" w:color="auto"/>
            <w:left w:val="none" w:sz="0" w:space="0" w:color="auto"/>
            <w:bottom w:val="none" w:sz="0" w:space="0" w:color="auto"/>
            <w:right w:val="none" w:sz="0" w:space="0" w:color="auto"/>
          </w:divBdr>
        </w:div>
        <w:div w:id="2070299663">
          <w:marLeft w:val="1166"/>
          <w:marRight w:val="0"/>
          <w:marTop w:val="96"/>
          <w:marBottom w:val="0"/>
          <w:divBdr>
            <w:top w:val="none" w:sz="0" w:space="0" w:color="auto"/>
            <w:left w:val="none" w:sz="0" w:space="0" w:color="auto"/>
            <w:bottom w:val="none" w:sz="0" w:space="0" w:color="auto"/>
            <w:right w:val="none" w:sz="0" w:space="0" w:color="auto"/>
          </w:divBdr>
        </w:div>
      </w:divsChild>
    </w:div>
    <w:div w:id="555817079">
      <w:bodyDiv w:val="1"/>
      <w:marLeft w:val="0"/>
      <w:marRight w:val="0"/>
      <w:marTop w:val="0"/>
      <w:marBottom w:val="0"/>
      <w:divBdr>
        <w:top w:val="none" w:sz="0" w:space="0" w:color="auto"/>
        <w:left w:val="none" w:sz="0" w:space="0" w:color="auto"/>
        <w:bottom w:val="none" w:sz="0" w:space="0" w:color="auto"/>
        <w:right w:val="none" w:sz="0" w:space="0" w:color="auto"/>
      </w:divBdr>
    </w:div>
    <w:div w:id="1757896021">
      <w:bodyDiv w:val="1"/>
      <w:marLeft w:val="0"/>
      <w:marRight w:val="0"/>
      <w:marTop w:val="0"/>
      <w:marBottom w:val="0"/>
      <w:divBdr>
        <w:top w:val="none" w:sz="0" w:space="0" w:color="auto"/>
        <w:left w:val="none" w:sz="0" w:space="0" w:color="auto"/>
        <w:bottom w:val="none" w:sz="0" w:space="0" w:color="auto"/>
        <w:right w:val="none" w:sz="0" w:space="0" w:color="auto"/>
      </w:divBdr>
      <w:divsChild>
        <w:div w:id="262886145">
          <w:marLeft w:val="1166"/>
          <w:marRight w:val="0"/>
          <w:marTop w:val="96"/>
          <w:marBottom w:val="0"/>
          <w:divBdr>
            <w:top w:val="none" w:sz="0" w:space="0" w:color="auto"/>
            <w:left w:val="none" w:sz="0" w:space="0" w:color="auto"/>
            <w:bottom w:val="none" w:sz="0" w:space="0" w:color="auto"/>
            <w:right w:val="none" w:sz="0" w:space="0" w:color="auto"/>
          </w:divBdr>
        </w:div>
        <w:div w:id="180971771">
          <w:marLeft w:val="1166"/>
          <w:marRight w:val="0"/>
          <w:marTop w:val="96"/>
          <w:marBottom w:val="0"/>
          <w:divBdr>
            <w:top w:val="none" w:sz="0" w:space="0" w:color="auto"/>
            <w:left w:val="none" w:sz="0" w:space="0" w:color="auto"/>
            <w:bottom w:val="none" w:sz="0" w:space="0" w:color="auto"/>
            <w:right w:val="none" w:sz="0" w:space="0" w:color="auto"/>
          </w:divBdr>
        </w:div>
        <w:div w:id="1390421111">
          <w:marLeft w:val="1166"/>
          <w:marRight w:val="0"/>
          <w:marTop w:val="96"/>
          <w:marBottom w:val="0"/>
          <w:divBdr>
            <w:top w:val="none" w:sz="0" w:space="0" w:color="auto"/>
            <w:left w:val="none" w:sz="0" w:space="0" w:color="auto"/>
            <w:bottom w:val="none" w:sz="0" w:space="0" w:color="auto"/>
            <w:right w:val="none" w:sz="0" w:space="0" w:color="auto"/>
          </w:divBdr>
        </w:div>
        <w:div w:id="1921480498">
          <w:marLeft w:val="1166"/>
          <w:marRight w:val="0"/>
          <w:marTop w:val="96"/>
          <w:marBottom w:val="0"/>
          <w:divBdr>
            <w:top w:val="none" w:sz="0" w:space="0" w:color="auto"/>
            <w:left w:val="none" w:sz="0" w:space="0" w:color="auto"/>
            <w:bottom w:val="none" w:sz="0" w:space="0" w:color="auto"/>
            <w:right w:val="none" w:sz="0" w:space="0" w:color="auto"/>
          </w:divBdr>
        </w:div>
        <w:div w:id="2088920983">
          <w:marLeft w:val="1166"/>
          <w:marRight w:val="0"/>
          <w:marTop w:val="96"/>
          <w:marBottom w:val="0"/>
          <w:divBdr>
            <w:top w:val="none" w:sz="0" w:space="0" w:color="auto"/>
            <w:left w:val="none" w:sz="0" w:space="0" w:color="auto"/>
            <w:bottom w:val="none" w:sz="0" w:space="0" w:color="auto"/>
            <w:right w:val="none" w:sz="0" w:space="0" w:color="auto"/>
          </w:divBdr>
        </w:div>
        <w:div w:id="267078829">
          <w:marLeft w:val="1166"/>
          <w:marRight w:val="0"/>
          <w:marTop w:val="96"/>
          <w:marBottom w:val="0"/>
          <w:divBdr>
            <w:top w:val="none" w:sz="0" w:space="0" w:color="auto"/>
            <w:left w:val="none" w:sz="0" w:space="0" w:color="auto"/>
            <w:bottom w:val="none" w:sz="0" w:space="0" w:color="auto"/>
            <w:right w:val="none" w:sz="0" w:space="0" w:color="auto"/>
          </w:divBdr>
        </w:div>
        <w:div w:id="144704449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mpson\AppData\Roaming\Microsoft\Templates\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Template>
  <TotalTime>307</TotalTime>
  <Pages>5</Pages>
  <Words>1549</Words>
  <Characters>8830</Characters>
  <Application>Microsoft Office Word</Application>
  <DocSecurity>0</DocSecurity>
  <PresentationFormat>11|.DOCX</PresentationFormat>
  <Lines>73</Lines>
  <Paragraphs>20</Paragraphs>
  <ScaleCrop>false</ScaleCrop>
  <HeadingPairs>
    <vt:vector size="2" baseType="variant">
      <vt:variant>
        <vt:lpstr>Title</vt:lpstr>
      </vt:variant>
      <vt:variant>
        <vt:i4>1</vt:i4>
      </vt:variant>
    </vt:vector>
  </HeadingPairs>
  <TitlesOfParts>
    <vt:vector size="1" baseType="lpstr">
      <vt:lpstr>CMAA General Membership Update January 2018  (00090864.DOCX;1)</vt:lpstr>
    </vt:vector>
  </TitlesOfParts>
  <Company>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CMAA General Membership Update January 2018  (00090864.DOCX;1)</dc:title>
  <dc:subject>00090864.1</dc:subject>
  <dc:creator>Vimi Sharma</dc:creator>
  <cp:keywords/>
  <dc:description/>
  <cp:lastModifiedBy>Cameron Crockett</cp:lastModifiedBy>
  <cp:revision>13</cp:revision>
  <cp:lastPrinted>2018-01-18T22:21:00Z</cp:lastPrinted>
  <dcterms:created xsi:type="dcterms:W3CDTF">2018-01-17T18:52:00Z</dcterms:created>
  <dcterms:modified xsi:type="dcterms:W3CDTF">2018-01-26T18:46:00Z</dcterms:modified>
</cp:coreProperties>
</file>